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87E58">
      <w:pPr>
        <w:pStyle w:val="2"/>
        <w:ind w:firstLine="562"/>
      </w:pPr>
      <w:bookmarkStart w:id="0" w:name="_Toc237961168"/>
      <w:r>
        <w:rPr>
          <w:rFonts w:hint="eastAsia"/>
        </w:rPr>
        <w:t>招标公告</w:t>
      </w:r>
      <w:bookmarkEnd w:id="0"/>
    </w:p>
    <w:p w14:paraId="6408D284">
      <w:pPr>
        <w:ind w:firstLine="480"/>
      </w:pPr>
      <w:r>
        <w:rPr>
          <w:rFonts w:hint="eastAsia"/>
        </w:rPr>
        <w:t>山东济钢航空航天智能电控有限公司就“济钢空天电控空调采购项目”进行公开招标，欢迎有意向单位参与投标，有关事项如下：</w:t>
      </w:r>
    </w:p>
    <w:p w14:paraId="78F3895A">
      <w:pPr>
        <w:pStyle w:val="3"/>
        <w:rPr>
          <w:rFonts w:hint="eastAsia" w:eastAsia="宋体"/>
          <w:lang w:eastAsia="zh-CN"/>
        </w:rPr>
      </w:pPr>
      <w:r>
        <w:rPr>
          <w:rStyle w:val="31"/>
          <w:rFonts w:hint="eastAsia"/>
          <w:b/>
          <w:bCs/>
          <w:sz w:val="24"/>
        </w:rPr>
        <w:t>一、招标编号</w:t>
      </w:r>
      <w:r>
        <w:rPr>
          <w:rFonts w:hint="eastAsia"/>
        </w:rPr>
        <w:t>：</w:t>
      </w:r>
      <w:r>
        <w:rPr>
          <w:rFonts w:hint="eastAsia"/>
          <w:lang w:eastAsia="zh-CN"/>
        </w:rPr>
        <w:t>1101261102002</w:t>
      </w:r>
    </w:p>
    <w:p w14:paraId="31E930F7">
      <w:pPr>
        <w:pStyle w:val="3"/>
      </w:pPr>
      <w:r>
        <w:rPr>
          <w:rStyle w:val="31"/>
          <w:rFonts w:hint="eastAsia"/>
          <w:b/>
          <w:bCs/>
          <w:sz w:val="24"/>
        </w:rPr>
        <w:t>二、招标名称</w:t>
      </w:r>
      <w:r>
        <w:rPr>
          <w:rFonts w:hint="eastAsia"/>
        </w:rPr>
        <w:t>：济钢空天电控空调采购项目</w:t>
      </w:r>
    </w:p>
    <w:p w14:paraId="5A0851EA">
      <w:pPr>
        <w:pStyle w:val="3"/>
      </w:pPr>
      <w:r>
        <w:rPr>
          <w:rFonts w:hint="eastAsia"/>
        </w:rPr>
        <w:t>三、项目概况及内容</w:t>
      </w:r>
    </w:p>
    <w:p w14:paraId="47D3947C">
      <w:pPr>
        <w:ind w:firstLine="480"/>
      </w:pPr>
      <w:r>
        <w:rPr>
          <w:rFonts w:hint="eastAsia"/>
        </w:rPr>
        <w:t>1、项目名称：济钢空天电控空调采购项目。</w:t>
      </w:r>
    </w:p>
    <w:p w14:paraId="1AF425DA">
      <w:pPr>
        <w:ind w:firstLine="480"/>
      </w:pPr>
      <w:r>
        <w:rPr>
          <w:rFonts w:hint="eastAsia"/>
        </w:rPr>
        <w:t>2、项目地点：‌山东省济南市莱芜区汶源西大街 6 号</w:t>
      </w:r>
      <w:r>
        <w:rPr>
          <w:rFonts w:hint="eastAsia"/>
          <w:lang w:eastAsia="zh-CN"/>
        </w:rPr>
        <w:t>，</w:t>
      </w:r>
      <w:r>
        <w:rPr>
          <w:rFonts w:hint="eastAsia"/>
        </w:rPr>
        <w:t>山东泰东新材料有限公司。</w:t>
      </w:r>
    </w:p>
    <w:p w14:paraId="46C658B7">
      <w:pPr>
        <w:ind w:firstLine="480"/>
      </w:pPr>
      <w:r>
        <w:rPr>
          <w:rFonts w:hint="eastAsia"/>
        </w:rPr>
        <w:t>3、采购数量：</w:t>
      </w:r>
      <w:r>
        <w:rPr>
          <w:rFonts w:hint="eastAsia"/>
          <w:lang w:val="en-US" w:eastAsia="zh-CN"/>
        </w:rPr>
        <w:t>1台</w:t>
      </w:r>
      <w:r>
        <w:rPr>
          <w:rFonts w:hint="eastAsia"/>
        </w:rPr>
        <w:t>。</w:t>
      </w:r>
    </w:p>
    <w:p w14:paraId="4FF9CED6">
      <w:pPr>
        <w:ind w:firstLine="480"/>
      </w:pPr>
      <w:r>
        <w:rPr>
          <w:rFonts w:hint="eastAsia"/>
        </w:rPr>
        <w:t>4、项目内容：采购空调1台，规格型号及技术参数详见本章第5款“采购清单”、第五章“项目需求及技术要求”。本项目采用固定总价方式报价，报价包含货物、包装、运输、装卸、安装及辅材、调试、检测、验收、售后服务及13%增值税等完成本项目的全部费用。</w:t>
      </w:r>
      <w:r>
        <w:rPr>
          <w:rFonts w:hint="eastAsia"/>
        </w:rPr>
        <w:t xml:space="preserve">本项目最高限价为人民币5100元（大写：伍仟壹佰元整），投标报价（含税总价）不得超过最高限价，超过最高限价的投标作废标处理。</w:t>
      </w:r>
    </w:p>
    <w:p w14:paraId="28F5B9DC">
      <w:pPr>
        <w:ind w:firstLine="480"/>
      </w:pPr>
      <w:r>
        <w:rPr>
          <w:rFonts w:hint="eastAsia"/>
        </w:rPr>
        <w:t>5、</w:t>
      </w:r>
      <w:r>
        <w:rPr>
          <w:rFonts w:hint="eastAsia"/>
          <w:lang w:val="en-US" w:eastAsia="zh-CN"/>
        </w:rPr>
        <w:t>采购</w:t>
      </w:r>
      <w:r>
        <w:t>清单如下：</w:t>
      </w:r>
    </w:p>
    <w:tbl>
      <w:tblPr>
        <w:tblStyle w:val="25"/>
        <w:tblW w:w="9067" w:type="dxa"/>
        <w:tblInd w:w="0" w:type="dxa"/>
        <w:tblLayout w:type="autofit"/>
        <w:tblCellMar>
          <w:top w:w="0" w:type="dxa"/>
          <w:left w:w="108" w:type="dxa"/>
          <w:bottom w:w="0" w:type="dxa"/>
          <w:right w:w="108" w:type="dxa"/>
        </w:tblCellMar>
      </w:tblPr>
      <w:tblGrid>
        <w:gridCol w:w="725"/>
        <w:gridCol w:w="1100"/>
        <w:gridCol w:w="4434"/>
        <w:gridCol w:w="1450"/>
        <w:gridCol w:w="1358"/>
      </w:tblGrid>
      <w:tr w14:paraId="22C4D8BD">
        <w:tblPrEx>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vAlign w:val="center"/>
          </w:tcPr>
          <w:p w14:paraId="704421F1">
            <w:pPr>
              <w:widowControl/>
              <w:spacing w:line="240" w:lineRule="auto"/>
              <w:ind w:firstLine="0" w:firstLineChars="0"/>
              <w:jc w:val="center"/>
              <w:textAlignment w:val="center"/>
              <w:rPr>
                <w:rFonts w:hint="eastAsia" w:ascii="宋体" w:hAnsi="宋体" w:cs="宋体"/>
                <w:sz w:val="22"/>
                <w:szCs w:val="20"/>
              </w:rPr>
            </w:pPr>
            <w:r>
              <w:rPr>
                <w:rFonts w:hint="eastAsia" w:ascii="宋体" w:hAnsi="宋体" w:cs="宋体"/>
                <w:kern w:val="0"/>
                <w:sz w:val="22"/>
                <w:szCs w:val="20"/>
              </w:rPr>
              <w:t>序号</w:t>
            </w:r>
          </w:p>
        </w:tc>
        <w:tc>
          <w:tcPr>
            <w:tcW w:w="1100" w:type="dxa"/>
            <w:tcBorders>
              <w:top w:val="single" w:color="000000" w:sz="4" w:space="0"/>
              <w:left w:val="single" w:color="000000" w:sz="4" w:space="0"/>
              <w:bottom w:val="single" w:color="000000" w:sz="4" w:space="0"/>
              <w:right w:val="single" w:color="000000" w:sz="4" w:space="0"/>
            </w:tcBorders>
            <w:vAlign w:val="center"/>
          </w:tcPr>
          <w:p w14:paraId="00D70D92">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kern w:val="0"/>
                <w:sz w:val="22"/>
                <w:szCs w:val="20"/>
                <w:lang w:val="en-US" w:eastAsia="zh-CN"/>
              </w:rPr>
              <w:t>名称</w:t>
            </w:r>
          </w:p>
        </w:tc>
        <w:tc>
          <w:tcPr>
            <w:tcW w:w="4434" w:type="dxa"/>
            <w:tcBorders>
              <w:top w:val="single" w:color="000000" w:sz="4" w:space="0"/>
              <w:left w:val="single" w:color="000000" w:sz="4" w:space="0"/>
              <w:bottom w:val="single" w:color="000000" w:sz="4" w:space="0"/>
              <w:right w:val="single" w:color="000000" w:sz="4" w:space="0"/>
            </w:tcBorders>
            <w:vAlign w:val="center"/>
          </w:tcPr>
          <w:p w14:paraId="5530469F">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sz w:val="22"/>
                <w:szCs w:val="20"/>
                <w:lang w:val="en-US" w:eastAsia="zh-CN"/>
              </w:rPr>
              <w:t>规格型号</w:t>
            </w:r>
          </w:p>
        </w:tc>
        <w:tc>
          <w:tcPr>
            <w:tcW w:w="1450" w:type="dxa"/>
            <w:tcBorders>
              <w:top w:val="single" w:color="000000" w:sz="4" w:space="0"/>
              <w:left w:val="single" w:color="000000" w:sz="4" w:space="0"/>
              <w:bottom w:val="single" w:color="000000" w:sz="4" w:space="0"/>
              <w:right w:val="single" w:color="000000" w:sz="4" w:space="0"/>
            </w:tcBorders>
            <w:vAlign w:val="center"/>
          </w:tcPr>
          <w:p w14:paraId="38121E86">
            <w:pPr>
              <w:widowControl/>
              <w:spacing w:line="240" w:lineRule="auto"/>
              <w:ind w:firstLine="0" w:firstLineChars="0"/>
              <w:jc w:val="center"/>
              <w:textAlignment w:val="center"/>
              <w:rPr>
                <w:rFonts w:hint="eastAsia" w:ascii="宋体" w:hAnsi="宋体" w:eastAsia="宋体" w:cs="宋体"/>
                <w:sz w:val="22"/>
                <w:szCs w:val="20"/>
                <w:lang w:eastAsia="zh-CN"/>
              </w:rPr>
            </w:pPr>
            <w:r>
              <w:rPr>
                <w:rFonts w:hint="eastAsia" w:ascii="宋体" w:hAnsi="宋体" w:cs="宋体"/>
                <w:kern w:val="0"/>
                <w:sz w:val="22"/>
                <w:szCs w:val="20"/>
                <w:lang w:val="en-US" w:eastAsia="zh-CN"/>
              </w:rPr>
              <w:t>数量</w:t>
            </w:r>
          </w:p>
        </w:tc>
        <w:tc>
          <w:tcPr>
            <w:tcW w:w="1358" w:type="dxa"/>
            <w:tcBorders>
              <w:top w:val="single" w:color="000000" w:sz="4" w:space="0"/>
              <w:left w:val="single" w:color="000000" w:sz="4" w:space="0"/>
              <w:bottom w:val="single" w:color="000000" w:sz="4" w:space="0"/>
              <w:right w:val="single" w:color="000000" w:sz="4" w:space="0"/>
            </w:tcBorders>
            <w:vAlign w:val="center"/>
          </w:tcPr>
          <w:p w14:paraId="2A29DB0A">
            <w:pPr>
              <w:widowControl/>
              <w:spacing w:line="240" w:lineRule="auto"/>
              <w:ind w:firstLine="0" w:firstLineChars="0"/>
              <w:jc w:val="center"/>
              <w:textAlignment w:val="center"/>
              <w:rPr>
                <w:rFonts w:hint="eastAsia" w:ascii="宋体" w:hAnsi="宋体" w:cs="宋体"/>
                <w:sz w:val="22"/>
                <w:szCs w:val="20"/>
              </w:rPr>
            </w:pPr>
            <w:r>
              <w:rPr>
                <w:rFonts w:hint="eastAsia" w:ascii="宋体" w:hAnsi="宋体" w:cs="宋体"/>
                <w:sz w:val="22"/>
                <w:szCs w:val="20"/>
              </w:rPr>
              <w:t>备注</w:t>
            </w:r>
          </w:p>
        </w:tc>
      </w:tr>
      <w:tr w14:paraId="4D197BA5">
        <w:tblPrEx>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vAlign w:val="center"/>
          </w:tcPr>
          <w:p w14:paraId="74BB96C9">
            <w:pPr>
              <w:widowControl/>
              <w:spacing w:line="240" w:lineRule="auto"/>
              <w:ind w:firstLine="0" w:firstLineChars="0"/>
              <w:jc w:val="center"/>
              <w:textAlignment w:val="center"/>
              <w:rPr>
                <w:rFonts w:hint="eastAsia" w:ascii="宋体" w:hAnsi="宋体" w:cs="宋体"/>
                <w:kern w:val="0"/>
                <w:sz w:val="22"/>
                <w:szCs w:val="20"/>
              </w:rPr>
            </w:pPr>
            <w:r>
              <w:rPr>
                <w:rFonts w:hint="eastAsia" w:ascii="宋体" w:hAnsi="宋体" w:cs="宋体"/>
                <w:kern w:val="0"/>
                <w:sz w:val="22"/>
                <w:szCs w:val="20"/>
              </w:rPr>
              <w:t>1</w:t>
            </w:r>
          </w:p>
        </w:tc>
        <w:tc>
          <w:tcPr>
            <w:tcW w:w="1100" w:type="dxa"/>
            <w:tcBorders>
              <w:top w:val="single" w:color="000000" w:sz="4" w:space="0"/>
              <w:left w:val="single" w:color="000000" w:sz="4" w:space="0"/>
              <w:bottom w:val="single" w:color="000000" w:sz="4" w:space="0"/>
              <w:right w:val="single" w:color="000000" w:sz="4" w:space="0"/>
            </w:tcBorders>
            <w:vAlign w:val="center"/>
          </w:tcPr>
          <w:p w14:paraId="5B948BD6">
            <w:pPr>
              <w:widowControl/>
              <w:spacing w:line="240" w:lineRule="auto"/>
              <w:ind w:firstLine="0" w:firstLineChars="0"/>
              <w:jc w:val="center"/>
              <w:textAlignment w:val="center"/>
              <w:rPr>
                <w:rFonts w:hint="eastAsia" w:ascii="宋体" w:hAnsi="宋体" w:eastAsia="宋体" w:cs="宋体"/>
                <w:kern w:val="0"/>
                <w:sz w:val="22"/>
                <w:szCs w:val="20"/>
                <w:lang w:eastAsia="zh-CN"/>
              </w:rPr>
            </w:pPr>
            <w:r>
              <w:rPr>
                <w:rFonts w:hint="eastAsia" w:ascii="宋体" w:hAnsi="宋体" w:cs="宋体"/>
                <w:kern w:val="0"/>
                <w:sz w:val="22"/>
                <w:szCs w:val="20"/>
                <w:lang w:val="en-US" w:eastAsia="zh-CN"/>
              </w:rPr>
              <w:t>空调</w:t>
            </w:r>
          </w:p>
        </w:tc>
        <w:tc>
          <w:tcPr>
            <w:tcW w:w="4434" w:type="dxa"/>
            <w:tcBorders>
              <w:top w:val="single" w:color="000000" w:sz="4" w:space="0"/>
              <w:left w:val="single" w:color="000000" w:sz="4" w:space="0"/>
              <w:bottom w:val="single" w:color="000000" w:sz="4" w:space="0"/>
              <w:right w:val="single" w:color="000000" w:sz="4" w:space="0"/>
            </w:tcBorders>
            <w:vAlign w:val="center"/>
          </w:tcPr>
          <w:p w14:paraId="495BFBA1">
            <w:pPr>
              <w:widowControl/>
              <w:spacing w:line="240" w:lineRule="auto"/>
              <w:ind w:firstLine="0" w:firstLineChars="0"/>
              <w:jc w:val="center"/>
              <w:textAlignment w:val="center"/>
              <w:rPr>
                <w:rFonts w:hint="eastAsia"/>
              </w:rPr>
            </w:pPr>
            <w:r>
              <w:rPr>
                <w:rFonts w:hint="eastAsia"/>
              </w:rPr>
              <w:t>空调KFR-72LW/G2-1F</w:t>
            </w:r>
          </w:p>
          <w:p w14:paraId="25E97D26">
            <w:pPr>
              <w:widowControl/>
              <w:spacing w:line="240" w:lineRule="auto"/>
              <w:ind w:firstLine="0" w:firstLineChars="0"/>
              <w:jc w:val="center"/>
              <w:textAlignment w:val="center"/>
              <w:rPr>
                <w:rFonts w:hint="eastAsia" w:eastAsia="宋体"/>
                <w:lang w:eastAsia="zh-CN"/>
              </w:rPr>
            </w:pPr>
            <w:r>
              <w:rPr>
                <w:rFonts w:hint="eastAsia"/>
              </w:rPr>
              <w:t>制冷量：7.2kW，功率</w:t>
            </w:r>
            <w:r>
              <w:rPr>
                <w:rFonts w:hint="eastAsia"/>
                <w:lang w:eastAsia="zh-CN"/>
              </w:rPr>
              <w:t>：</w:t>
            </w:r>
            <w:r>
              <w:rPr>
                <w:rFonts w:hint="eastAsia"/>
              </w:rPr>
              <w:t xml:space="preserve">4kW，220V </w:t>
            </w:r>
            <w:r>
              <w:rPr>
                <w:rFonts w:hint="eastAsia"/>
                <w:lang w:eastAsia="zh-CN"/>
              </w:rPr>
              <w:t>，</w:t>
            </w:r>
          </w:p>
          <w:p w14:paraId="03FA97B9">
            <w:pPr>
              <w:widowControl/>
              <w:spacing w:line="240" w:lineRule="auto"/>
              <w:ind w:firstLine="0" w:firstLineChars="0"/>
              <w:jc w:val="center"/>
              <w:textAlignment w:val="center"/>
              <w:rPr>
                <w:rFonts w:hint="eastAsia" w:eastAsia="宋体"/>
                <w:lang w:eastAsia="zh-CN"/>
              </w:rPr>
            </w:pPr>
            <w:r>
              <w:rPr>
                <w:rFonts w:hint="eastAsia"/>
              </w:rPr>
              <w:t>风量：1300m3/h</w:t>
            </w:r>
            <w:r>
              <w:rPr>
                <w:rFonts w:hint="eastAsia"/>
                <w:lang w:eastAsia="zh-CN"/>
              </w:rPr>
              <w:t>，</w:t>
            </w:r>
            <w:r>
              <w:rPr>
                <w:rFonts w:hint="eastAsia"/>
              </w:rPr>
              <w:t>具有除湿功能,配带气液管、电缆2米</w:t>
            </w:r>
            <w:r>
              <w:rPr>
                <w:rFonts w:hint="eastAsia"/>
                <w:lang w:eastAsia="zh-CN"/>
              </w:rPr>
              <w:t>，</w:t>
            </w:r>
          </w:p>
          <w:p w14:paraId="6CC58374">
            <w:pPr>
              <w:widowControl/>
              <w:spacing w:line="240" w:lineRule="auto"/>
              <w:ind w:firstLine="0" w:firstLineChars="0"/>
              <w:jc w:val="center"/>
              <w:textAlignment w:val="center"/>
              <w:rPr>
                <w:rFonts w:hint="eastAsia" w:ascii="宋体" w:hAnsi="宋体" w:cs="宋体"/>
                <w:kern w:val="0"/>
                <w:sz w:val="22"/>
                <w:szCs w:val="20"/>
              </w:rPr>
            </w:pPr>
            <w:r>
              <w:rPr>
                <w:rFonts w:hint="eastAsia"/>
              </w:rPr>
              <w:t>一级能效空调，供货厂家安装</w:t>
            </w:r>
            <w:r>
              <w:rPr>
                <w:rFonts w:hint="eastAsia"/>
                <w:lang w:eastAsia="zh-CN"/>
              </w:rPr>
              <w:t>，</w:t>
            </w:r>
            <w:r>
              <w:rPr>
                <w:rFonts w:hint="eastAsia"/>
              </w:rPr>
              <w:t>美的</w:t>
            </w:r>
          </w:p>
        </w:tc>
        <w:tc>
          <w:tcPr>
            <w:tcW w:w="1450" w:type="dxa"/>
            <w:tcBorders>
              <w:top w:val="single" w:color="000000" w:sz="4" w:space="0"/>
              <w:left w:val="single" w:color="000000" w:sz="4" w:space="0"/>
              <w:bottom w:val="single" w:color="000000" w:sz="4" w:space="0"/>
              <w:right w:val="single" w:color="000000" w:sz="4" w:space="0"/>
            </w:tcBorders>
            <w:vAlign w:val="center"/>
          </w:tcPr>
          <w:p w14:paraId="7050FCDD">
            <w:pPr>
              <w:widowControl/>
              <w:spacing w:line="240" w:lineRule="auto"/>
              <w:ind w:firstLine="0" w:firstLineChars="0"/>
              <w:jc w:val="center"/>
              <w:textAlignment w:val="center"/>
              <w:rPr>
                <w:rFonts w:hint="default" w:ascii="宋体" w:hAnsi="宋体" w:eastAsia="宋体" w:cs="宋体"/>
                <w:kern w:val="0"/>
                <w:sz w:val="22"/>
                <w:szCs w:val="20"/>
                <w:lang w:val="en-US" w:eastAsia="zh-CN"/>
              </w:rPr>
            </w:pPr>
            <w:r>
              <w:rPr>
                <w:rFonts w:hint="eastAsia" w:ascii="宋体" w:hAnsi="宋体" w:cs="宋体"/>
                <w:kern w:val="0"/>
                <w:sz w:val="22"/>
                <w:szCs w:val="20"/>
                <w:lang w:val="en-US" w:eastAsia="zh-CN"/>
              </w:rPr>
              <w:t>1台</w:t>
            </w:r>
          </w:p>
        </w:tc>
        <w:tc>
          <w:tcPr>
            <w:tcW w:w="1358" w:type="dxa"/>
            <w:tcBorders>
              <w:top w:val="single" w:color="000000" w:sz="4" w:space="0"/>
              <w:left w:val="single" w:color="000000" w:sz="4" w:space="0"/>
              <w:bottom w:val="single" w:color="000000" w:sz="4" w:space="0"/>
              <w:right w:val="single" w:color="000000" w:sz="4" w:space="0"/>
            </w:tcBorders>
            <w:vAlign w:val="center"/>
          </w:tcPr>
          <w:p w14:paraId="6E0190B6">
            <w:pPr>
              <w:widowControl/>
              <w:spacing w:line="240" w:lineRule="auto"/>
              <w:ind w:firstLine="0" w:firstLineChars="0"/>
              <w:jc w:val="center"/>
              <w:textAlignment w:val="center"/>
              <w:rPr>
                <w:rFonts w:hint="eastAsia" w:ascii="宋体" w:hAnsi="宋体" w:eastAsia="宋体" w:cs="宋体"/>
                <w:kern w:val="0"/>
                <w:sz w:val="22"/>
                <w:szCs w:val="20"/>
                <w:lang w:val="en-US" w:eastAsia="zh-CN"/>
              </w:rPr>
            </w:pPr>
            <w:r>
              <w:rPr>
                <w:rFonts w:hint="eastAsia" w:ascii="宋体" w:hAnsi="宋体" w:cs="宋体"/>
                <w:kern w:val="0"/>
                <w:sz w:val="22"/>
                <w:szCs w:val="20"/>
                <w:lang w:val="en-US" w:eastAsia="zh-CN"/>
              </w:rPr>
              <w:t>美的</w:t>
            </w:r>
          </w:p>
        </w:tc>
      </w:tr>
    </w:tbl>
    <w:p w14:paraId="71E97780">
      <w:pPr>
        <w:numPr>
          <w:ilvl w:val="0"/>
          <w:numId w:val="0"/>
        </w:numPr>
        <w:ind w:firstLine="480" w:firstLineChars="200"/>
        <w:rPr>
          <w:rFonts w:hint="eastAsia"/>
        </w:rPr>
      </w:pPr>
      <w:r>
        <w:rPr>
          <w:rFonts w:hint="eastAsia"/>
        </w:rPr>
        <w:t>6、结算方式：货物送达指定地点并完成安装、调试，经招标人验收合格后，中标人在10个工作日内开具全额13%增值税专用发票，招标人收到发票经财务入账后一次性支付合同总价款。</w:t>
      </w:r>
    </w:p>
    <w:p w14:paraId="25F13442">
      <w:pPr>
        <w:numPr>
          <w:ilvl w:val="0"/>
          <w:numId w:val="0"/>
        </w:numPr>
        <w:ind w:firstLine="480" w:firstLineChars="200"/>
      </w:pPr>
      <w:r>
        <w:rPr>
          <w:rFonts w:hint="eastAsia"/>
        </w:rPr>
        <w:t>7、技术标准：本项目空调的选型、制造、检验、包装、运输、交付、安装及验收，须严格遵守国家及行业现行最新有效标准，主要包含但不限于：GB/T 7725《房间空气调节器》、GB 4706.32《家用和类似用途电器的安全 热泵、空调器和除湿机的特殊要求》、GB 21455《房间空气调节器能效限定值及能效等级》、GB 17790《房间空气调节器安装规范》等相关规范。产品技术参数、结构工艺、电气安全性能、能效等级不得低于国家现行标准及本招标文件规定指标，标准更新自动按最新版本执行。</w:t>
      </w:r>
    </w:p>
    <w:p w14:paraId="7BC6CAA9">
      <w:pPr>
        <w:ind w:firstLine="480"/>
      </w:pPr>
      <w:r>
        <w:rPr>
          <w:rFonts w:hint="eastAsia"/>
        </w:rPr>
        <w:t>8、质量要求：本批次空调须为全新原厂正品、全新未使用、无返修、无库存积压、非拆包翻新产品，严禁贴牌、串货、非标改制。产品须为列入国家能效标识备案目录的一级能效产品，并在有效期内取得CCC强制性产品认证，具备清晰规范的CCC标志和中国能效标识。</w:t>
      </w:r>
    </w:p>
    <w:p w14:paraId="5B28CAD7">
      <w:pPr>
        <w:ind w:firstLine="480"/>
      </w:pPr>
      <w:r>
        <w:rPr>
          <w:rFonts w:hint="eastAsia"/>
        </w:rPr>
        <w:t>9、交货及安装：中标人应自合同签订之日起</w:t>
      </w:r>
      <w:r>
        <w:rPr>
          <w:rFonts w:hint="eastAsia"/>
          <w:lang w:val="en-US" w:eastAsia="zh-CN"/>
        </w:rPr>
        <w:t>7</w:t>
      </w:r>
      <w:r>
        <w:rPr>
          <w:rFonts w:hint="eastAsia"/>
        </w:rPr>
        <w:t>日内将货物送达指定地点并完成安装调试，达到验收条件。运输、吊装、安装（含打孔、支架、排水管及电源线路连接等辅材作业）及作业安全由中标人负责。</w:t>
      </w:r>
    </w:p>
    <w:p w14:paraId="3659537C">
      <w:pPr>
        <w:ind w:firstLine="480"/>
      </w:pPr>
      <w:r>
        <w:rPr>
          <w:rFonts w:hint="eastAsia"/>
        </w:rPr>
        <w:t>10、验收标准：货物验收严格按照本招标文件技术要求、供货规范及国家现行标准执行，实行资料验收、外观验收、规格型号核对、安装调试及运行性能验收相结合的方式。出厂合格证、CCC证书、中国能效标识、使用说明书、装箱单等资料齐全，CCC标志和能效标识加施规范，外观完好无损，型号、规格与投标响应一致，安装符合GB 17790要求，制冷、制热、除湿、风量、噪声等运行性能测试全部合格方可验收。若资料缺失、外观破损、参数不达标、检测不合格、与投标响应不一致，一律判定验收不合格，招标人有权拒收、退货、责令无条件换货，并由中标方承担全部工期、经济及履约责任。</w:t>
      </w:r>
    </w:p>
    <w:p w14:paraId="00F7B9CE">
      <w:pPr>
        <w:pStyle w:val="3"/>
      </w:pPr>
      <w:r>
        <w:rPr>
          <w:rFonts w:hint="eastAsia"/>
        </w:rPr>
        <w:t>四、投标人资格要求</w:t>
      </w:r>
    </w:p>
    <w:p w14:paraId="25BC819D">
      <w:pPr>
        <w:ind w:firstLine="480"/>
      </w:pPr>
      <w:r>
        <w:rPr>
          <w:rFonts w:hint="eastAsia"/>
        </w:rPr>
        <w:t>1、</w:t>
      </w:r>
      <w:r>
        <w:t>中华人民共和国境内注册，具有独立法人资格，能够独立承担民事责任，营业执照有效；</w:t>
      </w:r>
    </w:p>
    <w:p w14:paraId="1DC28B60">
      <w:pPr>
        <w:ind w:firstLine="480"/>
      </w:pPr>
      <w:r>
        <w:rPr>
          <w:rFonts w:hint="eastAsia"/>
        </w:rPr>
        <w:t>2、投标人经营范围应包含空调制冷设备销售或安装相关内容；投标人为代理商（经销商）的，须提供制造商授权书或可追溯的正规供货渠道证明文件；</w:t>
      </w:r>
    </w:p>
    <w:p w14:paraId="6B368BD7">
      <w:pPr>
        <w:ind w:firstLine="480"/>
      </w:pPr>
      <w:r>
        <w:rPr>
          <w:rFonts w:hint="eastAsia"/>
        </w:rPr>
        <w:t>3、所投产品须为本项目指定制造商原厂生产的同品牌同型号全新合格产品，具备有效期内的CCC强制性产品认证证书，并完成中国能效标识备案（能效等级1级），提供证书复印件及全国认证认可信息公共服务平台、中国能效标识网查询截图；</w:t>
      </w:r>
    </w:p>
    <w:p w14:paraId="31C5F572">
      <w:pPr>
        <w:ind w:firstLine="480"/>
      </w:pPr>
      <w:r>
        <w:rPr>
          <w:rFonts w:hint="eastAsia"/>
        </w:rPr>
        <w:t>4、具备本项目货物的配送、安装、调试及售后服务能力，在山东省内设有售后服务网点或取得制造商售后服务承诺（提供书面证明材料）；</w:t>
      </w:r>
    </w:p>
    <w:p w14:paraId="3BF0949A">
      <w:pPr>
        <w:ind w:firstLine="480"/>
      </w:pPr>
      <w:r>
        <w:rPr>
          <w:rFonts w:hint="eastAsia"/>
        </w:rPr>
        <w:t>5、具有良好的财务状况，近三年没有处于被责令停业、财产被接管、冻结、破产状态，提供最近三年财务报表；</w:t>
      </w:r>
    </w:p>
    <w:p w14:paraId="68F4F7AA">
      <w:pPr>
        <w:ind w:firstLine="480"/>
      </w:pPr>
      <w:r>
        <w:rPr>
          <w:rFonts w:hint="eastAsia"/>
        </w:rPr>
        <w:t>6、信誉要求：</w:t>
      </w:r>
      <w:r>
        <w:t>具有良好的商业信誉，近三年以来在经营活动中无不诚信记录和无重大违法记录（提供书面声明）；“国家企业信用信息公示系统”（www.gsxt.gov.cn）中未列入“列入经营异常名录信息”、“严重违法失信名单（黑名单）信息”</w:t>
      </w:r>
      <w:r>
        <w:rPr>
          <w:rFonts w:hint="eastAsia"/>
        </w:rPr>
        <w:t>；</w:t>
      </w:r>
    </w:p>
    <w:p w14:paraId="685057E5">
      <w:pPr>
        <w:ind w:firstLine="480"/>
      </w:pPr>
      <w:r>
        <w:rPr>
          <w:rFonts w:hint="eastAsia"/>
        </w:rPr>
        <w:t>7、有依法缴纳税收和社保的良好纪录；</w:t>
      </w:r>
    </w:p>
    <w:p w14:paraId="22A6A591">
      <w:pPr>
        <w:ind w:firstLine="480"/>
      </w:pPr>
      <w:r>
        <w:rPr>
          <w:rFonts w:hint="eastAsia"/>
        </w:rPr>
        <w:t>8、本项目不接受联合体投标；</w:t>
      </w:r>
    </w:p>
    <w:p w14:paraId="6E2A7374">
      <w:pPr>
        <w:ind w:firstLine="480"/>
      </w:pPr>
      <w:r>
        <w:rPr>
          <w:rFonts w:hint="eastAsia"/>
        </w:rPr>
        <w:t>9、如有单位资料造假，一经发现，立即在网上公示，并永久取消投标资格；</w:t>
      </w:r>
    </w:p>
    <w:p w14:paraId="6D9C29CA">
      <w:pPr>
        <w:ind w:firstLine="480"/>
      </w:pPr>
      <w:r>
        <w:rPr>
          <w:rFonts w:hint="eastAsia"/>
        </w:rPr>
        <w:t>10、报名及投标人员在济钢集团的一切活动必须遵守济钢集团的安全规定。</w:t>
      </w:r>
    </w:p>
    <w:p w14:paraId="3D36C476">
      <w:pPr>
        <w:pStyle w:val="3"/>
        <w:rPr>
          <w:highlight w:val="none"/>
        </w:rPr>
      </w:pPr>
      <w:r>
        <w:rPr>
          <w:rFonts w:hint="eastAsia"/>
          <w:highlight w:val="none"/>
        </w:rPr>
        <w:t>五、公告及报名时间</w:t>
      </w:r>
    </w:p>
    <w:p w14:paraId="56DEB437">
      <w:pPr>
        <w:ind w:firstLine="480"/>
        <w:rPr>
          <w:highlight w:val="none"/>
        </w:rPr>
      </w:pPr>
      <w:r>
        <w:rPr>
          <w:rFonts w:hint="eastAsia"/>
          <w:highlight w:val="none"/>
        </w:rPr>
        <w:t>1、报名方式：通过登录济钢集团有限公司阳光购销平台网上报名，平台网址：http://bidding.jigang.com.cn/；</w:t>
      </w:r>
    </w:p>
    <w:p w14:paraId="5D2ACFDF">
      <w:pPr>
        <w:ind w:firstLine="480"/>
        <w:rPr>
          <w:highlight w:val="none"/>
        </w:rPr>
      </w:pPr>
      <w:r>
        <w:rPr>
          <w:rFonts w:hint="eastAsia"/>
          <w:highlight w:val="none"/>
        </w:rPr>
        <w:t>2、公告和报名时间：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2</w:t>
      </w:r>
      <w:r>
        <w:rPr>
          <w:rFonts w:hint="eastAsia"/>
          <w:b/>
          <w:bCs/>
          <w:highlight w:val="none"/>
        </w:rPr>
        <w:t>日-2026年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7</w:t>
      </w:r>
      <w:r>
        <w:rPr>
          <w:rFonts w:hint="eastAsia"/>
          <w:b/>
          <w:bCs/>
          <w:highlight w:val="none"/>
        </w:rPr>
        <w:t>日，</w:t>
      </w:r>
      <w:r>
        <w:rPr>
          <w:b/>
          <w:bCs/>
          <w:highlight w:val="none"/>
        </w:rPr>
        <w:t>逾期不再受理。</w:t>
      </w:r>
    </w:p>
    <w:p w14:paraId="3AE72265">
      <w:pPr>
        <w:ind w:firstLine="480"/>
        <w:rPr>
          <w:rFonts w:hint="eastAsia" w:eastAsia="宋体"/>
          <w:highlight w:val="none"/>
          <w:lang w:val="en-US" w:eastAsia="zh-CN"/>
        </w:rPr>
      </w:pPr>
      <w:r>
        <w:rPr>
          <w:rFonts w:hint="eastAsia"/>
          <w:highlight w:val="none"/>
        </w:rPr>
        <w:t>3、本次招标一次报价，不允许二次报价；报价唯一</w:t>
      </w:r>
      <w:r>
        <w:rPr>
          <w:rFonts w:hint="eastAsia"/>
          <w:highlight w:val="none"/>
          <w:lang w:eastAsia="zh-CN"/>
        </w:rPr>
        <w:t>，</w:t>
      </w:r>
      <w:r>
        <w:rPr>
          <w:rFonts w:hint="eastAsia"/>
          <w:highlight w:val="none"/>
          <w:lang w:val="en-US" w:eastAsia="zh-CN"/>
        </w:rPr>
        <w:t>线上报价。</w:t>
      </w:r>
      <w:r>
        <w:rPr>
          <w:rFonts w:hint="eastAsia"/>
          <w:highlight w:val="none"/>
        </w:rPr>
        <w:t xml:space="preserve">本项目最高限价为人民币5100元（大写：伍仟壹佰元整），线上报价不得超过最高限价，超过最高限价的投标作废标处理。</w:t>
      </w:r>
    </w:p>
    <w:p w14:paraId="386FD883">
      <w:pPr>
        <w:pStyle w:val="3"/>
        <w:rPr>
          <w:highlight w:val="none"/>
        </w:rPr>
      </w:pPr>
      <w:r>
        <w:rPr>
          <w:rFonts w:hint="eastAsia"/>
          <w:highlight w:val="none"/>
        </w:rPr>
        <w:t>六、招标文件</w:t>
      </w:r>
    </w:p>
    <w:p w14:paraId="4ABD40E7">
      <w:pPr>
        <w:ind w:firstLine="480"/>
        <w:rPr>
          <w:highlight w:val="none"/>
        </w:rPr>
      </w:pPr>
      <w:r>
        <w:rPr>
          <w:rFonts w:hint="eastAsia"/>
          <w:highlight w:val="none"/>
        </w:rPr>
        <w:t>1、获取方式：凡有意参加的潜在投标人，在公告期内登陆：济钢集团有限公司阳光购销平台http://bidding.jigang.com.cn/，注册用户成功后，须修改初始密码，重新登录后报名，报名通过后方可下载招标文件；</w:t>
      </w:r>
    </w:p>
    <w:p w14:paraId="2F05F259">
      <w:pPr>
        <w:ind w:firstLine="480"/>
        <w:rPr>
          <w:highlight w:val="none"/>
        </w:rPr>
      </w:pPr>
      <w:r>
        <w:rPr>
          <w:rFonts w:hint="eastAsia"/>
          <w:highlight w:val="none"/>
        </w:rPr>
        <w:t>注意：领取招标文件时的资料查验不代表资格审查的最终通过或合格，投标人最终资格的确认以评标委员会的资格后审为准。</w:t>
      </w:r>
    </w:p>
    <w:p w14:paraId="523A0EE6">
      <w:pPr>
        <w:pStyle w:val="3"/>
        <w:rPr>
          <w:color w:val="FF0000"/>
          <w:highlight w:val="none"/>
        </w:rPr>
      </w:pPr>
      <w:r>
        <w:rPr>
          <w:rFonts w:hint="eastAsia"/>
          <w:highlight w:val="none"/>
        </w:rPr>
        <w:t>七、投标保证金：</w:t>
      </w:r>
      <w:r>
        <w:rPr>
          <w:rFonts w:hint="eastAsia"/>
          <w:b w:val="0"/>
          <w:bCs w:val="0"/>
          <w:highlight w:val="none"/>
        </w:rPr>
        <w:t>无。</w:t>
      </w:r>
    </w:p>
    <w:p w14:paraId="185A7D80">
      <w:pPr>
        <w:pStyle w:val="3"/>
        <w:rPr>
          <w:highlight w:val="none"/>
        </w:rPr>
      </w:pPr>
      <w:r>
        <w:rPr>
          <w:rFonts w:hint="eastAsia"/>
          <w:highlight w:val="none"/>
        </w:rPr>
        <w:t>八、投标文件的递交</w:t>
      </w:r>
    </w:p>
    <w:p w14:paraId="04965C67">
      <w:pPr>
        <w:ind w:firstLine="480"/>
        <w:rPr>
          <w:rFonts w:hint="eastAsia"/>
          <w:highlight w:val="none"/>
          <w:lang w:eastAsia="zh-CN"/>
        </w:rPr>
      </w:pPr>
      <w:r>
        <w:rPr>
          <w:rFonts w:hint="eastAsia"/>
          <w:highlight w:val="none"/>
        </w:rPr>
        <w:t>1、投标文件递交的截止时间：</w:t>
      </w:r>
      <w:r>
        <w:rPr>
          <w:rFonts w:hint="eastAsia"/>
          <w:b/>
          <w:bCs/>
          <w:highlight w:val="none"/>
        </w:rPr>
        <w:t>2026年</w:t>
      </w:r>
      <w:r>
        <w:rPr>
          <w:rFonts w:hint="eastAsia"/>
          <w:b/>
          <w:bCs/>
          <w:highlight w:val="none"/>
          <w:lang w:val="en-US" w:eastAsia="zh-CN"/>
        </w:rPr>
        <w:t>11</w:t>
      </w:r>
      <w:r>
        <w:rPr>
          <w:rFonts w:hint="eastAsia"/>
          <w:b/>
          <w:bCs/>
          <w:highlight w:val="none"/>
        </w:rPr>
        <w:t>月</w:t>
      </w:r>
      <w:r>
        <w:rPr>
          <w:rFonts w:hint="eastAsia"/>
          <w:b/>
          <w:bCs/>
          <w:highlight w:val="none"/>
          <w:lang w:val="en-US" w:eastAsia="zh-CN"/>
        </w:rPr>
        <w:t>1</w:t>
      </w:r>
      <w:r>
        <w:rPr>
          <w:rFonts w:hint="eastAsia"/>
          <w:b/>
          <w:bCs/>
          <w:highlight w:val="none"/>
        </w:rPr>
        <w:t>2日</w:t>
      </w:r>
      <w:r>
        <w:rPr>
          <w:rFonts w:hint="eastAsia"/>
          <w:b/>
          <w:bCs/>
          <w:highlight w:val="none"/>
          <w:lang w:val="en-US" w:eastAsia="zh-CN"/>
        </w:rPr>
        <w:t>上</w:t>
      </w:r>
      <w:r>
        <w:rPr>
          <w:rFonts w:hint="eastAsia"/>
          <w:b/>
          <w:bCs/>
          <w:highlight w:val="none"/>
        </w:rPr>
        <w:t>午</w:t>
      </w:r>
      <w:r>
        <w:rPr>
          <w:rFonts w:hint="eastAsia"/>
          <w:b/>
          <w:bCs/>
          <w:highlight w:val="none"/>
          <w:lang w:val="en-US" w:eastAsia="zh-CN"/>
        </w:rPr>
        <w:t>9</w:t>
      </w:r>
      <w:r>
        <w:rPr>
          <w:rFonts w:hint="eastAsia"/>
          <w:b/>
          <w:bCs/>
          <w:highlight w:val="none"/>
        </w:rPr>
        <w:t>点</w:t>
      </w:r>
      <w:r>
        <w:rPr>
          <w:rFonts w:hint="eastAsia"/>
          <w:b/>
          <w:bCs/>
          <w:highlight w:val="none"/>
          <w:lang w:val="en-US" w:eastAsia="zh-CN"/>
        </w:rPr>
        <w:t>00</w:t>
      </w:r>
      <w:r>
        <w:rPr>
          <w:rFonts w:hint="eastAsia"/>
          <w:b/>
          <w:bCs/>
          <w:highlight w:val="none"/>
        </w:rPr>
        <w:t>分</w:t>
      </w:r>
      <w:r>
        <w:rPr>
          <w:rFonts w:hint="eastAsia"/>
          <w:highlight w:val="none"/>
        </w:rPr>
        <w:t>前（开标时间，下同）</w:t>
      </w:r>
      <w:r>
        <w:rPr>
          <w:rFonts w:hint="eastAsia"/>
          <w:highlight w:val="none"/>
          <w:lang w:eastAsia="zh-CN"/>
        </w:rPr>
        <w:t>。</w:t>
      </w:r>
    </w:p>
    <w:p w14:paraId="3F9EC81A">
      <w:pPr>
        <w:ind w:firstLine="480"/>
        <w:rPr>
          <w:rFonts w:hint="eastAsia"/>
          <w:b/>
          <w:bCs/>
          <w:highlight w:val="none"/>
          <w:lang w:val="en-US" w:eastAsia="zh-CN"/>
        </w:rPr>
      </w:pPr>
      <w:r>
        <w:rPr>
          <w:rFonts w:hint="eastAsia"/>
          <w:b/>
          <w:bCs/>
          <w:highlight w:val="none"/>
          <w:lang w:val="en-US" w:eastAsia="zh-CN"/>
        </w:rPr>
        <w:t>2、投标文件由纸质投标文件和签字盖章电子版投标文件两部分组成，投标人应在投标截止时间前同时递交，缺一不可。</w:t>
      </w:r>
    </w:p>
    <w:p w14:paraId="0F258E0A">
      <w:pPr>
        <w:ind w:firstLine="480"/>
        <w:rPr>
          <w:rFonts w:hint="eastAsia"/>
          <w:b/>
          <w:bCs/>
          <w:highlight w:val="none"/>
          <w:lang w:val="en-US" w:eastAsia="zh-CN"/>
        </w:rPr>
      </w:pPr>
      <w:r>
        <w:rPr>
          <w:rFonts w:hint="eastAsia"/>
          <w:b/>
          <w:bCs/>
          <w:highlight w:val="none"/>
          <w:lang w:val="en-US" w:eastAsia="zh-CN"/>
        </w:rPr>
        <w:t>3、纸质投标文件递交</w:t>
      </w:r>
    </w:p>
    <w:p w14:paraId="4A08CA6B">
      <w:pPr>
        <w:rPr>
          <w:rFonts w:hint="eastAsia"/>
          <w:highlight w:val="none"/>
          <w:lang w:val="en-US" w:eastAsia="zh-CN"/>
        </w:rPr>
      </w:pPr>
      <w:r>
        <w:rPr>
          <w:rFonts w:hint="eastAsia"/>
          <w:highlight w:val="none"/>
          <w:lang w:val="en-US" w:eastAsia="zh-CN"/>
        </w:rPr>
        <w:t>投标人可将纸质投标文件现场递交或邮寄递交至以下地址：</w:t>
      </w:r>
    </w:p>
    <w:p w14:paraId="7A9F1EC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highlight w:val="none"/>
          <w:lang w:val="en-US" w:eastAsia="zh-CN"/>
        </w:rPr>
      </w:pPr>
      <w:r>
        <w:rPr>
          <w:rFonts w:hint="eastAsia"/>
          <w:highlight w:val="none"/>
          <w:lang w:val="en-US" w:eastAsia="zh-CN"/>
        </w:rPr>
        <w:t>收件单位：</w:t>
      </w:r>
      <w:r>
        <w:rPr>
          <w:rFonts w:hint="eastAsia"/>
          <w:highlight w:val="none"/>
        </w:rPr>
        <w:t>山东济钢航空航天智能电控有限公司</w:t>
      </w:r>
    </w:p>
    <w:p w14:paraId="2635FD39">
      <w:pPr>
        <w:ind w:firstLine="480"/>
        <w:rPr>
          <w:rFonts w:hint="eastAsia"/>
          <w:highlight w:val="none"/>
        </w:rPr>
      </w:pPr>
      <w:r>
        <w:rPr>
          <w:rFonts w:hint="eastAsia"/>
          <w:highlight w:val="none"/>
          <w:lang w:val="en-US" w:eastAsia="zh-CN"/>
        </w:rPr>
        <w:t>收件地址：</w:t>
      </w:r>
      <w:r>
        <w:rPr>
          <w:rFonts w:hint="eastAsia"/>
          <w:highlight w:val="none"/>
        </w:rPr>
        <w:t>山东省济南市历城区董家街道遥墙机场路11999号</w:t>
      </w:r>
    </w:p>
    <w:p w14:paraId="5E9D4935">
      <w:pPr>
        <w:ind w:firstLine="480"/>
        <w:rPr>
          <w:rFonts w:hint="eastAsia"/>
          <w:highlight w:val="none"/>
          <w:lang w:val="en-US" w:eastAsia="zh-CN"/>
        </w:rPr>
      </w:pPr>
      <w:r>
        <w:rPr>
          <w:rFonts w:hint="eastAsia"/>
          <w:highlight w:val="none"/>
          <w:lang w:val="en-US" w:eastAsia="zh-CN"/>
        </w:rPr>
        <w:t>联系人：姚工</w:t>
      </w:r>
    </w:p>
    <w:p w14:paraId="40EE55C9">
      <w:pPr>
        <w:ind w:firstLine="480"/>
        <w:rPr>
          <w:rFonts w:hint="default"/>
          <w:highlight w:val="none"/>
          <w:lang w:val="en-US" w:eastAsia="zh-CN"/>
        </w:rPr>
      </w:pPr>
      <w:r>
        <w:rPr>
          <w:rFonts w:hint="eastAsia"/>
          <w:highlight w:val="none"/>
          <w:lang w:val="en-US" w:eastAsia="zh-CN"/>
        </w:rPr>
        <w:t>联系电话：13156111751</w:t>
      </w:r>
    </w:p>
    <w:p w14:paraId="04456AD9">
      <w:pPr>
        <w:ind w:firstLine="480"/>
        <w:rPr>
          <w:rFonts w:hint="eastAsia"/>
          <w:highlight w:val="none"/>
          <w:lang w:val="en-US" w:eastAsia="zh-CN"/>
        </w:rPr>
      </w:pPr>
      <w:r>
        <w:rPr>
          <w:rFonts w:hint="eastAsia"/>
          <w:highlight w:val="none"/>
          <w:lang w:val="en-US" w:eastAsia="zh-CN"/>
        </w:rPr>
        <w:t>邮寄递交的，以投标文件实际送达上述地址的时间为准；逾期送达或未送达至上述地址的，招标人有权拒收。</w:t>
      </w:r>
    </w:p>
    <w:p w14:paraId="7772814C">
      <w:pPr>
        <w:ind w:firstLine="480"/>
        <w:rPr>
          <w:rFonts w:hint="eastAsia"/>
          <w:b/>
          <w:bCs/>
          <w:highlight w:val="none"/>
          <w:lang w:val="en-US" w:eastAsia="zh-CN"/>
        </w:rPr>
      </w:pPr>
      <w:r>
        <w:rPr>
          <w:rFonts w:hint="eastAsia"/>
          <w:b/>
          <w:bCs/>
          <w:highlight w:val="none"/>
          <w:lang w:val="en-US" w:eastAsia="zh-CN"/>
        </w:rPr>
        <w:t>4、签字盖章电子版投标文件递交</w:t>
      </w:r>
    </w:p>
    <w:p w14:paraId="253DB85A">
      <w:pPr>
        <w:ind w:firstLine="480"/>
        <w:rPr>
          <w:rFonts w:hint="default"/>
          <w:highlight w:val="none"/>
          <w:lang w:val="en-US" w:eastAsia="zh-CN"/>
        </w:rPr>
      </w:pPr>
      <w:r>
        <w:rPr>
          <w:rFonts w:hint="eastAsia"/>
          <w:highlight w:val="none"/>
          <w:lang w:val="en-US" w:eastAsia="zh-CN"/>
        </w:rPr>
        <w:t>投标人应在投标截止时间前，将签字盖章电子版投标文件上传至</w:t>
      </w:r>
      <w:r>
        <w:rPr>
          <w:rFonts w:hint="eastAsia"/>
          <w:highlight w:val="none"/>
        </w:rPr>
        <w:t>济钢集团有限公司阳光购销平台</w:t>
      </w:r>
      <w:r>
        <w:rPr>
          <w:rFonts w:hint="eastAsia"/>
          <w:highlight w:val="none"/>
          <w:lang w:val="en-US" w:eastAsia="zh-CN"/>
        </w:rPr>
        <w:t>。签字盖章电子版投标文件应采用PDF格式，文件命名规则为：投标人名称+文件名称”。</w:t>
      </w:r>
    </w:p>
    <w:p w14:paraId="2B1E7DFE">
      <w:pPr>
        <w:numPr>
          <w:ilvl w:val="0"/>
          <w:numId w:val="1"/>
        </w:numPr>
        <w:ind w:firstLine="480"/>
        <w:rPr>
          <w:rFonts w:hint="eastAsia"/>
          <w:highlight w:val="none"/>
        </w:rPr>
      </w:pPr>
      <w:r>
        <w:rPr>
          <w:rFonts w:hint="eastAsia"/>
          <w:highlight w:val="none"/>
          <w:lang w:val="en-US" w:eastAsia="zh-CN"/>
        </w:rPr>
        <w:t>开标方式：</w:t>
      </w:r>
      <w:r>
        <w:rPr>
          <w:rFonts w:hint="eastAsia"/>
          <w:highlight w:val="none"/>
        </w:rPr>
        <w:t>济钢集团有限公司阳光购销平台</w:t>
      </w:r>
      <w:r>
        <w:rPr>
          <w:rFonts w:hint="eastAsia"/>
          <w:highlight w:val="none"/>
          <w:lang w:eastAsia="zh-CN"/>
        </w:rPr>
        <w:t>，</w:t>
      </w:r>
      <w:r>
        <w:rPr>
          <w:rFonts w:hint="eastAsia"/>
          <w:b/>
          <w:bCs/>
          <w:highlight w:val="none"/>
          <w:lang w:val="en-US" w:eastAsia="zh-CN"/>
        </w:rPr>
        <w:t>线上开标</w:t>
      </w:r>
      <w:r>
        <w:rPr>
          <w:rFonts w:hint="eastAsia"/>
          <w:highlight w:val="none"/>
        </w:rPr>
        <w:t>。</w:t>
      </w:r>
    </w:p>
    <w:p w14:paraId="63A451EB">
      <w:pPr>
        <w:numPr>
          <w:ilvl w:val="0"/>
          <w:numId w:val="0"/>
        </w:numPr>
        <w:ind w:firstLine="480" w:firstLineChars="200"/>
        <w:rPr>
          <w:highlight w:val="none"/>
        </w:rPr>
      </w:pPr>
      <w:r>
        <w:rPr>
          <w:rFonts w:hint="eastAsia"/>
          <w:highlight w:val="none"/>
          <w:lang w:val="en-US" w:eastAsia="zh-CN"/>
        </w:rPr>
        <w:t>6</w:t>
      </w:r>
      <w:r>
        <w:rPr>
          <w:rFonts w:hint="eastAsia"/>
          <w:highlight w:val="none"/>
        </w:rPr>
        <w:t>、逾期送达的、未送达指定地点的或者不按照招标文件要求密封的投标文件，招标人将予以拒收。</w:t>
      </w:r>
    </w:p>
    <w:p w14:paraId="31E79464">
      <w:pPr>
        <w:pStyle w:val="3"/>
      </w:pPr>
      <w:r>
        <w:rPr>
          <w:rFonts w:hint="eastAsia"/>
        </w:rPr>
        <w:t>九、资格审查方式</w:t>
      </w:r>
    </w:p>
    <w:p w14:paraId="1C348903">
      <w:pPr>
        <w:ind w:firstLine="480"/>
      </w:pPr>
      <w:r>
        <w:rPr>
          <w:rFonts w:hint="eastAsia"/>
        </w:rPr>
        <w:t>资格后审；开标后，评标委员会对投标单位的资质文件进行评审。评审合格的进入下一阶段评审；评审不合格的按废标处理，标书费不退。</w:t>
      </w:r>
    </w:p>
    <w:p w14:paraId="1DD31802">
      <w:pPr>
        <w:pStyle w:val="3"/>
      </w:pPr>
      <w:r>
        <w:rPr>
          <w:rFonts w:hint="eastAsia"/>
        </w:rPr>
        <w:t>十、联系方式</w:t>
      </w:r>
    </w:p>
    <w:p w14:paraId="464CD14E">
      <w:pPr>
        <w:ind w:firstLine="480"/>
      </w:pPr>
      <w:r>
        <w:rPr>
          <w:rFonts w:hint="eastAsia"/>
        </w:rPr>
        <w:t>招标联系人：</w:t>
      </w:r>
      <w:r>
        <w:rPr>
          <w:rFonts w:hint="eastAsia"/>
          <w:lang w:val="en-US" w:eastAsia="zh-CN"/>
        </w:rPr>
        <w:t>姚</w:t>
      </w:r>
      <w:r>
        <w:rPr>
          <w:rFonts w:hint="eastAsia"/>
        </w:rPr>
        <w:t>工，联系电话：</w:t>
      </w:r>
      <w:r>
        <w:rPr>
          <w:rFonts w:hint="eastAsia"/>
          <w:lang w:eastAsia="zh-CN"/>
        </w:rPr>
        <w:t>13156111751</w:t>
      </w:r>
      <w:r>
        <w:rPr>
          <w:rFonts w:hint="eastAsia"/>
        </w:rPr>
        <w:t>；</w:t>
      </w:r>
    </w:p>
    <w:p w14:paraId="2E8C076D">
      <w:pPr>
        <w:ind w:firstLine="480"/>
      </w:pPr>
      <w:r>
        <w:rPr>
          <w:rFonts w:hint="eastAsia"/>
        </w:rPr>
        <w:t>技术联系人：李工，联系电话：</w:t>
      </w:r>
      <w:r>
        <w:rPr>
          <w:rFonts w:hint="eastAsia"/>
          <w:lang w:eastAsia="zh-CN"/>
        </w:rPr>
        <w:t>15853193910</w:t>
      </w:r>
      <w:r>
        <w:rPr>
          <w:rFonts w:hint="eastAsia"/>
        </w:rPr>
        <w:t>。</w:t>
      </w:r>
    </w:p>
    <w:p w14:paraId="24E9696D">
      <w:pPr>
        <w:pStyle w:val="3"/>
        <w:spacing w:before="0" w:beforeAutospacing="0"/>
        <w:ind w:firstLine="0" w:firstLineChars="0"/>
        <w:rPr>
          <w:rFonts w:ascii="Times New Roman" w:hAnsi="Times New Roman" w:eastAsia="宋体" w:cstheme="majorBidi"/>
          <w:b/>
          <w:bCs/>
          <w:kern w:val="2"/>
          <w:sz w:val="24"/>
          <w:szCs w:val="32"/>
          <w:lang w:val="en-US" w:eastAsia="zh-CN" w:bidi="ar-SA"/>
          <w14:ligatures w14:val="standardContextual"/>
        </w:rPr>
      </w:pPr>
      <w:bookmarkStart w:id="1" w:name="_GoBack"/>
      <w:r>
        <w:rPr>
          <w:rFonts w:hint="eastAsia" w:ascii="Times New Roman" w:hAnsi="Times New Roman" w:eastAsia="宋体" w:cstheme="majorBidi"/>
          <w:b/>
          <w:bCs/>
          <w:kern w:val="2"/>
          <w:sz w:val="24"/>
          <w:szCs w:val="32"/>
          <w:lang w:val="en-US" w:eastAsia="zh-CN" w:bidi="ar-SA"/>
          <w14:ligatures w14:val="standardContextual"/>
        </w:rPr>
        <w:t>十一、解决合同纠纷的方式</w:t>
      </w:r>
    </w:p>
    <w:p w14:paraId="23A124D3">
      <w:pPr>
        <w:ind w:firstLine="480"/>
      </w:pPr>
      <w:r>
        <w:rPr>
          <w:rFonts w:hint="eastAsia"/>
        </w:rPr>
        <w:t>双方友好协商解决，协商不成提交甲方所在地人民法院诉讼解决。</w:t>
      </w:r>
    </w:p>
    <w:p w14:paraId="6D002312">
      <w:pPr>
        <w:pStyle w:val="3"/>
      </w:pPr>
      <w:r>
        <w:rPr>
          <w:rFonts w:hint="eastAsia"/>
        </w:rPr>
        <w:t>十二、招标内容和其他要求以最终的招标文件为准。</w:t>
      </w:r>
    </w:p>
    <w:bookmarkEnd w:id="1"/>
    <w:p w14:paraId="62D3A5FA">
      <w:pPr>
        <w:pStyle w:val="4"/>
      </w:pPr>
    </w:p>
    <w:sectPr>
      <w:headerReference r:id="rId5" w:type="default"/>
      <w:footerReference r:id="rId6" w:type="default"/>
      <w:pgSz w:w="11906" w:h="16838"/>
      <w:pgMar w:top="1440" w:right="1247" w:bottom="1440" w:left="1247" w:header="851" w:footer="567"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0534393"/>
      <w:docPartObj>
        <w:docPartGallery w:val="autotext"/>
      </w:docPartObj>
    </w:sdtPr>
    <w:sdtContent>
      <w:p w14:paraId="6F78D909">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14:paraId="0A2B1633">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45B4B">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C5D13F"/>
    <w:multiLevelType w:val="singleLevel"/>
    <w:tmpl w:val="E4C5D13F"/>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2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725"/>
    <w:rsid w:val="0001058F"/>
    <w:rsid w:val="0001347C"/>
    <w:rsid w:val="00021FC8"/>
    <w:rsid w:val="00023ED4"/>
    <w:rsid w:val="00031C04"/>
    <w:rsid w:val="00032264"/>
    <w:rsid w:val="0004203B"/>
    <w:rsid w:val="00051A6D"/>
    <w:rsid w:val="0005720F"/>
    <w:rsid w:val="0006104D"/>
    <w:rsid w:val="00062BD4"/>
    <w:rsid w:val="000651BF"/>
    <w:rsid w:val="00077478"/>
    <w:rsid w:val="000776AC"/>
    <w:rsid w:val="00080C72"/>
    <w:rsid w:val="00084F41"/>
    <w:rsid w:val="00090725"/>
    <w:rsid w:val="000A75A7"/>
    <w:rsid w:val="000B1432"/>
    <w:rsid w:val="000B5846"/>
    <w:rsid w:val="000B5ADA"/>
    <w:rsid w:val="000D2B68"/>
    <w:rsid w:val="000E61E3"/>
    <w:rsid w:val="000E624D"/>
    <w:rsid w:val="000F59E4"/>
    <w:rsid w:val="000F6534"/>
    <w:rsid w:val="000F72E9"/>
    <w:rsid w:val="00100CF7"/>
    <w:rsid w:val="00105639"/>
    <w:rsid w:val="00107728"/>
    <w:rsid w:val="00115A41"/>
    <w:rsid w:val="00123F6B"/>
    <w:rsid w:val="00132DB0"/>
    <w:rsid w:val="001356AD"/>
    <w:rsid w:val="00147D34"/>
    <w:rsid w:val="00157F29"/>
    <w:rsid w:val="00161D09"/>
    <w:rsid w:val="00175DDE"/>
    <w:rsid w:val="00187ADA"/>
    <w:rsid w:val="00192560"/>
    <w:rsid w:val="001C5B41"/>
    <w:rsid w:val="001D1665"/>
    <w:rsid w:val="001D5A0F"/>
    <w:rsid w:val="001D5AB1"/>
    <w:rsid w:val="002070FB"/>
    <w:rsid w:val="00207387"/>
    <w:rsid w:val="002150A6"/>
    <w:rsid w:val="0022072A"/>
    <w:rsid w:val="00222DDF"/>
    <w:rsid w:val="00233DD7"/>
    <w:rsid w:val="00234325"/>
    <w:rsid w:val="00236BE6"/>
    <w:rsid w:val="00263EBE"/>
    <w:rsid w:val="00293D82"/>
    <w:rsid w:val="002963D9"/>
    <w:rsid w:val="0029725D"/>
    <w:rsid w:val="002A0C61"/>
    <w:rsid w:val="002B375A"/>
    <w:rsid w:val="002B7781"/>
    <w:rsid w:val="002C11D2"/>
    <w:rsid w:val="002D0EFE"/>
    <w:rsid w:val="002D4465"/>
    <w:rsid w:val="002D5183"/>
    <w:rsid w:val="002D5BE7"/>
    <w:rsid w:val="002D78F3"/>
    <w:rsid w:val="002E0649"/>
    <w:rsid w:val="002E223D"/>
    <w:rsid w:val="002E537F"/>
    <w:rsid w:val="002F016D"/>
    <w:rsid w:val="002F4C5B"/>
    <w:rsid w:val="002F4E24"/>
    <w:rsid w:val="00300871"/>
    <w:rsid w:val="00302280"/>
    <w:rsid w:val="00303230"/>
    <w:rsid w:val="00304783"/>
    <w:rsid w:val="00311698"/>
    <w:rsid w:val="003140C9"/>
    <w:rsid w:val="00320B97"/>
    <w:rsid w:val="00332025"/>
    <w:rsid w:val="003376E0"/>
    <w:rsid w:val="003457D2"/>
    <w:rsid w:val="00354E33"/>
    <w:rsid w:val="0036240E"/>
    <w:rsid w:val="00365398"/>
    <w:rsid w:val="00365B94"/>
    <w:rsid w:val="003674ED"/>
    <w:rsid w:val="0037015D"/>
    <w:rsid w:val="0038297B"/>
    <w:rsid w:val="003849D4"/>
    <w:rsid w:val="003904FA"/>
    <w:rsid w:val="0039220B"/>
    <w:rsid w:val="003A234E"/>
    <w:rsid w:val="003A3517"/>
    <w:rsid w:val="003B6CE9"/>
    <w:rsid w:val="003C68E3"/>
    <w:rsid w:val="003C6B75"/>
    <w:rsid w:val="003C6C67"/>
    <w:rsid w:val="003C76C4"/>
    <w:rsid w:val="003D11D1"/>
    <w:rsid w:val="003D1ADC"/>
    <w:rsid w:val="003E4D1D"/>
    <w:rsid w:val="003E4D41"/>
    <w:rsid w:val="003F4EFC"/>
    <w:rsid w:val="00405E49"/>
    <w:rsid w:val="00425BD6"/>
    <w:rsid w:val="00426D2C"/>
    <w:rsid w:val="004317E8"/>
    <w:rsid w:val="0043285E"/>
    <w:rsid w:val="0043506A"/>
    <w:rsid w:val="00441F08"/>
    <w:rsid w:val="00443F0B"/>
    <w:rsid w:val="00443F5C"/>
    <w:rsid w:val="00444D8B"/>
    <w:rsid w:val="00460667"/>
    <w:rsid w:val="0046437A"/>
    <w:rsid w:val="00464954"/>
    <w:rsid w:val="004660EF"/>
    <w:rsid w:val="00476A9C"/>
    <w:rsid w:val="004770FC"/>
    <w:rsid w:val="00477CC6"/>
    <w:rsid w:val="004A0071"/>
    <w:rsid w:val="004A3A07"/>
    <w:rsid w:val="004A54D5"/>
    <w:rsid w:val="004C5125"/>
    <w:rsid w:val="004C5544"/>
    <w:rsid w:val="004D1C1B"/>
    <w:rsid w:val="004D5A83"/>
    <w:rsid w:val="004D6790"/>
    <w:rsid w:val="004D6D64"/>
    <w:rsid w:val="004E5B48"/>
    <w:rsid w:val="004E6664"/>
    <w:rsid w:val="004F42A2"/>
    <w:rsid w:val="004F695B"/>
    <w:rsid w:val="004F6D22"/>
    <w:rsid w:val="00504639"/>
    <w:rsid w:val="00504A02"/>
    <w:rsid w:val="00510778"/>
    <w:rsid w:val="00520BD4"/>
    <w:rsid w:val="00522982"/>
    <w:rsid w:val="00530ACF"/>
    <w:rsid w:val="00532E34"/>
    <w:rsid w:val="005350C2"/>
    <w:rsid w:val="00551A43"/>
    <w:rsid w:val="005524DB"/>
    <w:rsid w:val="00552720"/>
    <w:rsid w:val="00556C52"/>
    <w:rsid w:val="005572F3"/>
    <w:rsid w:val="00557A94"/>
    <w:rsid w:val="005618F2"/>
    <w:rsid w:val="00564BB5"/>
    <w:rsid w:val="00570A5F"/>
    <w:rsid w:val="00575AB9"/>
    <w:rsid w:val="00577ABC"/>
    <w:rsid w:val="00580538"/>
    <w:rsid w:val="00581D9E"/>
    <w:rsid w:val="00593306"/>
    <w:rsid w:val="005971C2"/>
    <w:rsid w:val="005A315F"/>
    <w:rsid w:val="005A5848"/>
    <w:rsid w:val="005A665E"/>
    <w:rsid w:val="005B30D6"/>
    <w:rsid w:val="005B60C0"/>
    <w:rsid w:val="005B6B94"/>
    <w:rsid w:val="005C41F1"/>
    <w:rsid w:val="005D5D04"/>
    <w:rsid w:val="005F08B8"/>
    <w:rsid w:val="005F4DF4"/>
    <w:rsid w:val="006209CF"/>
    <w:rsid w:val="00635CED"/>
    <w:rsid w:val="0065000F"/>
    <w:rsid w:val="00651E33"/>
    <w:rsid w:val="0065556B"/>
    <w:rsid w:val="0066013F"/>
    <w:rsid w:val="00661DBB"/>
    <w:rsid w:val="00666A4D"/>
    <w:rsid w:val="00673D1E"/>
    <w:rsid w:val="00675383"/>
    <w:rsid w:val="00675953"/>
    <w:rsid w:val="00684A90"/>
    <w:rsid w:val="006912AB"/>
    <w:rsid w:val="00696AFE"/>
    <w:rsid w:val="006A2E03"/>
    <w:rsid w:val="006A3E85"/>
    <w:rsid w:val="006B147B"/>
    <w:rsid w:val="006C01F2"/>
    <w:rsid w:val="006C67AC"/>
    <w:rsid w:val="006D365B"/>
    <w:rsid w:val="006F0334"/>
    <w:rsid w:val="006F3935"/>
    <w:rsid w:val="006F589A"/>
    <w:rsid w:val="00707700"/>
    <w:rsid w:val="00707D21"/>
    <w:rsid w:val="0071008D"/>
    <w:rsid w:val="0072066F"/>
    <w:rsid w:val="007211B3"/>
    <w:rsid w:val="00722934"/>
    <w:rsid w:val="007256D4"/>
    <w:rsid w:val="007371EA"/>
    <w:rsid w:val="0074738E"/>
    <w:rsid w:val="007652BB"/>
    <w:rsid w:val="007672E4"/>
    <w:rsid w:val="007769BC"/>
    <w:rsid w:val="00776BF5"/>
    <w:rsid w:val="00777ACF"/>
    <w:rsid w:val="00777BC2"/>
    <w:rsid w:val="00782027"/>
    <w:rsid w:val="00783DD9"/>
    <w:rsid w:val="0078568F"/>
    <w:rsid w:val="00795EFC"/>
    <w:rsid w:val="007A0173"/>
    <w:rsid w:val="007D0894"/>
    <w:rsid w:val="007E073A"/>
    <w:rsid w:val="007E4A9F"/>
    <w:rsid w:val="007E5A57"/>
    <w:rsid w:val="007E7BE7"/>
    <w:rsid w:val="007F02D0"/>
    <w:rsid w:val="007F05E0"/>
    <w:rsid w:val="007F1AA0"/>
    <w:rsid w:val="007F2AD5"/>
    <w:rsid w:val="007F7980"/>
    <w:rsid w:val="008046E0"/>
    <w:rsid w:val="00807D68"/>
    <w:rsid w:val="00811042"/>
    <w:rsid w:val="0081116C"/>
    <w:rsid w:val="0082410F"/>
    <w:rsid w:val="00825925"/>
    <w:rsid w:val="0082771F"/>
    <w:rsid w:val="00837642"/>
    <w:rsid w:val="00852F93"/>
    <w:rsid w:val="00853F3F"/>
    <w:rsid w:val="008921DB"/>
    <w:rsid w:val="00896D25"/>
    <w:rsid w:val="008A3F9E"/>
    <w:rsid w:val="008B0428"/>
    <w:rsid w:val="008B6ABC"/>
    <w:rsid w:val="008C0F65"/>
    <w:rsid w:val="008C1745"/>
    <w:rsid w:val="008C38EC"/>
    <w:rsid w:val="008C4B5E"/>
    <w:rsid w:val="008E5611"/>
    <w:rsid w:val="008F48FB"/>
    <w:rsid w:val="00917FFB"/>
    <w:rsid w:val="009207FD"/>
    <w:rsid w:val="009231F5"/>
    <w:rsid w:val="00937815"/>
    <w:rsid w:val="00937E25"/>
    <w:rsid w:val="00941DC3"/>
    <w:rsid w:val="009557BB"/>
    <w:rsid w:val="00956408"/>
    <w:rsid w:val="009672E6"/>
    <w:rsid w:val="00970974"/>
    <w:rsid w:val="00981282"/>
    <w:rsid w:val="009816F6"/>
    <w:rsid w:val="00982FE3"/>
    <w:rsid w:val="00983C18"/>
    <w:rsid w:val="009865A0"/>
    <w:rsid w:val="009A6A6B"/>
    <w:rsid w:val="009B254F"/>
    <w:rsid w:val="009B583F"/>
    <w:rsid w:val="009C4A0C"/>
    <w:rsid w:val="009D1CE3"/>
    <w:rsid w:val="00A04EEE"/>
    <w:rsid w:val="00A139FB"/>
    <w:rsid w:val="00A1587C"/>
    <w:rsid w:val="00A21622"/>
    <w:rsid w:val="00A2773F"/>
    <w:rsid w:val="00A30B42"/>
    <w:rsid w:val="00A311B1"/>
    <w:rsid w:val="00A350F9"/>
    <w:rsid w:val="00A47F3F"/>
    <w:rsid w:val="00A53244"/>
    <w:rsid w:val="00A606B3"/>
    <w:rsid w:val="00A611ED"/>
    <w:rsid w:val="00A71B90"/>
    <w:rsid w:val="00A77683"/>
    <w:rsid w:val="00A85425"/>
    <w:rsid w:val="00A9074F"/>
    <w:rsid w:val="00A925C8"/>
    <w:rsid w:val="00A93201"/>
    <w:rsid w:val="00A9507C"/>
    <w:rsid w:val="00A97B6B"/>
    <w:rsid w:val="00AA3FD8"/>
    <w:rsid w:val="00AA70C6"/>
    <w:rsid w:val="00AD18AD"/>
    <w:rsid w:val="00AD318D"/>
    <w:rsid w:val="00AD47AE"/>
    <w:rsid w:val="00AD5CBB"/>
    <w:rsid w:val="00AE3FB0"/>
    <w:rsid w:val="00AE7405"/>
    <w:rsid w:val="00AE7492"/>
    <w:rsid w:val="00B053C0"/>
    <w:rsid w:val="00B21806"/>
    <w:rsid w:val="00B22A78"/>
    <w:rsid w:val="00B26A06"/>
    <w:rsid w:val="00B3254D"/>
    <w:rsid w:val="00B45E7F"/>
    <w:rsid w:val="00B46128"/>
    <w:rsid w:val="00B50CE5"/>
    <w:rsid w:val="00B6327C"/>
    <w:rsid w:val="00B72E54"/>
    <w:rsid w:val="00B73DED"/>
    <w:rsid w:val="00B81AFB"/>
    <w:rsid w:val="00B83E28"/>
    <w:rsid w:val="00B869C8"/>
    <w:rsid w:val="00B90C6E"/>
    <w:rsid w:val="00B9313C"/>
    <w:rsid w:val="00B93B3B"/>
    <w:rsid w:val="00BA1165"/>
    <w:rsid w:val="00BA5441"/>
    <w:rsid w:val="00BA7726"/>
    <w:rsid w:val="00BB19D8"/>
    <w:rsid w:val="00BB50F5"/>
    <w:rsid w:val="00BC537C"/>
    <w:rsid w:val="00BC6DD7"/>
    <w:rsid w:val="00BE35E6"/>
    <w:rsid w:val="00BF3728"/>
    <w:rsid w:val="00C04540"/>
    <w:rsid w:val="00C11577"/>
    <w:rsid w:val="00C22C7C"/>
    <w:rsid w:val="00C25240"/>
    <w:rsid w:val="00C25248"/>
    <w:rsid w:val="00C26D76"/>
    <w:rsid w:val="00C27E29"/>
    <w:rsid w:val="00C424D4"/>
    <w:rsid w:val="00C45E50"/>
    <w:rsid w:val="00C469F5"/>
    <w:rsid w:val="00C579CC"/>
    <w:rsid w:val="00C62501"/>
    <w:rsid w:val="00C67274"/>
    <w:rsid w:val="00C75FF2"/>
    <w:rsid w:val="00C84DB9"/>
    <w:rsid w:val="00CA1997"/>
    <w:rsid w:val="00CA2557"/>
    <w:rsid w:val="00CA34DC"/>
    <w:rsid w:val="00CA4A70"/>
    <w:rsid w:val="00CA72D6"/>
    <w:rsid w:val="00CB0B6D"/>
    <w:rsid w:val="00CB7FD5"/>
    <w:rsid w:val="00CC623D"/>
    <w:rsid w:val="00CE4377"/>
    <w:rsid w:val="00CE46F4"/>
    <w:rsid w:val="00D00DB5"/>
    <w:rsid w:val="00D10FC4"/>
    <w:rsid w:val="00D23F4D"/>
    <w:rsid w:val="00D31A48"/>
    <w:rsid w:val="00D34363"/>
    <w:rsid w:val="00D41B42"/>
    <w:rsid w:val="00D509C7"/>
    <w:rsid w:val="00D56BD7"/>
    <w:rsid w:val="00D57B02"/>
    <w:rsid w:val="00D71915"/>
    <w:rsid w:val="00D847F5"/>
    <w:rsid w:val="00D86345"/>
    <w:rsid w:val="00D86E30"/>
    <w:rsid w:val="00D86F48"/>
    <w:rsid w:val="00D92218"/>
    <w:rsid w:val="00D92F10"/>
    <w:rsid w:val="00D9623E"/>
    <w:rsid w:val="00DA44B0"/>
    <w:rsid w:val="00DB67B7"/>
    <w:rsid w:val="00DD048A"/>
    <w:rsid w:val="00DD2078"/>
    <w:rsid w:val="00DD5BF8"/>
    <w:rsid w:val="00DD6CEF"/>
    <w:rsid w:val="00DF22EF"/>
    <w:rsid w:val="00DF6396"/>
    <w:rsid w:val="00DF7CF5"/>
    <w:rsid w:val="00E01284"/>
    <w:rsid w:val="00E01ACE"/>
    <w:rsid w:val="00E05BE0"/>
    <w:rsid w:val="00E172A1"/>
    <w:rsid w:val="00E267A2"/>
    <w:rsid w:val="00E34404"/>
    <w:rsid w:val="00E3520A"/>
    <w:rsid w:val="00E43405"/>
    <w:rsid w:val="00E43C7F"/>
    <w:rsid w:val="00E5013E"/>
    <w:rsid w:val="00E51151"/>
    <w:rsid w:val="00E541B1"/>
    <w:rsid w:val="00E54FE7"/>
    <w:rsid w:val="00E55EA3"/>
    <w:rsid w:val="00E57D38"/>
    <w:rsid w:val="00E65971"/>
    <w:rsid w:val="00E6614E"/>
    <w:rsid w:val="00E70CD9"/>
    <w:rsid w:val="00E817DD"/>
    <w:rsid w:val="00E9653A"/>
    <w:rsid w:val="00E96F89"/>
    <w:rsid w:val="00E9769F"/>
    <w:rsid w:val="00EC3BEC"/>
    <w:rsid w:val="00ED03CB"/>
    <w:rsid w:val="00ED0BC6"/>
    <w:rsid w:val="00ED671C"/>
    <w:rsid w:val="00EE46C5"/>
    <w:rsid w:val="00EF16D9"/>
    <w:rsid w:val="00F00657"/>
    <w:rsid w:val="00F0273B"/>
    <w:rsid w:val="00F03E73"/>
    <w:rsid w:val="00F16476"/>
    <w:rsid w:val="00F24020"/>
    <w:rsid w:val="00F25DF9"/>
    <w:rsid w:val="00F27252"/>
    <w:rsid w:val="00F314D0"/>
    <w:rsid w:val="00F3321A"/>
    <w:rsid w:val="00F37FF2"/>
    <w:rsid w:val="00F400EA"/>
    <w:rsid w:val="00F402D7"/>
    <w:rsid w:val="00F44C86"/>
    <w:rsid w:val="00F458AB"/>
    <w:rsid w:val="00F5280F"/>
    <w:rsid w:val="00F55021"/>
    <w:rsid w:val="00F57584"/>
    <w:rsid w:val="00F57D8D"/>
    <w:rsid w:val="00F61E85"/>
    <w:rsid w:val="00F620A2"/>
    <w:rsid w:val="00F66812"/>
    <w:rsid w:val="00F67D5F"/>
    <w:rsid w:val="00F67E49"/>
    <w:rsid w:val="00F7076C"/>
    <w:rsid w:val="00F70D5B"/>
    <w:rsid w:val="00F82B8A"/>
    <w:rsid w:val="00F83C9B"/>
    <w:rsid w:val="00F85E78"/>
    <w:rsid w:val="00F86306"/>
    <w:rsid w:val="00F879E4"/>
    <w:rsid w:val="00FA014F"/>
    <w:rsid w:val="00FD2C2D"/>
    <w:rsid w:val="00FE084B"/>
    <w:rsid w:val="00FE7157"/>
    <w:rsid w:val="031D432A"/>
    <w:rsid w:val="04CD5DF5"/>
    <w:rsid w:val="0BD316DC"/>
    <w:rsid w:val="0DAD6BC9"/>
    <w:rsid w:val="0E243241"/>
    <w:rsid w:val="0F785DEB"/>
    <w:rsid w:val="10855BDB"/>
    <w:rsid w:val="12F4603C"/>
    <w:rsid w:val="13201BEB"/>
    <w:rsid w:val="17B65A62"/>
    <w:rsid w:val="1BA71ACE"/>
    <w:rsid w:val="20A7447B"/>
    <w:rsid w:val="28003E99"/>
    <w:rsid w:val="28C332ED"/>
    <w:rsid w:val="28F12DEA"/>
    <w:rsid w:val="29C5361A"/>
    <w:rsid w:val="2B3F300C"/>
    <w:rsid w:val="2C122E31"/>
    <w:rsid w:val="2DA37311"/>
    <w:rsid w:val="2FB11BFF"/>
    <w:rsid w:val="30422D49"/>
    <w:rsid w:val="317A4765"/>
    <w:rsid w:val="33745D34"/>
    <w:rsid w:val="33E228F6"/>
    <w:rsid w:val="345C3AB8"/>
    <w:rsid w:val="39687157"/>
    <w:rsid w:val="40DE261A"/>
    <w:rsid w:val="42842C13"/>
    <w:rsid w:val="45D77CED"/>
    <w:rsid w:val="4A1D63B0"/>
    <w:rsid w:val="4CA74208"/>
    <w:rsid w:val="4DC124EF"/>
    <w:rsid w:val="4F5D14F6"/>
    <w:rsid w:val="50016325"/>
    <w:rsid w:val="516F72BF"/>
    <w:rsid w:val="52285DEB"/>
    <w:rsid w:val="5237602E"/>
    <w:rsid w:val="54D52832"/>
    <w:rsid w:val="57113547"/>
    <w:rsid w:val="57715B3F"/>
    <w:rsid w:val="5A094754"/>
    <w:rsid w:val="5D1368A6"/>
    <w:rsid w:val="60EC2D3A"/>
    <w:rsid w:val="60F73DE1"/>
    <w:rsid w:val="62C84A81"/>
    <w:rsid w:val="69A43B52"/>
    <w:rsid w:val="6A7300BE"/>
    <w:rsid w:val="6CAA265B"/>
    <w:rsid w:val="6F220E74"/>
    <w:rsid w:val="71B53A3F"/>
    <w:rsid w:val="740508EE"/>
    <w:rsid w:val="77D26378"/>
    <w:rsid w:val="7BFC15CB"/>
    <w:rsid w:val="7CED1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heme="minorBidi"/>
      <w:kern w:val="2"/>
      <w:sz w:val="24"/>
      <w:szCs w:val="22"/>
      <w:lang w:val="en-US" w:eastAsia="zh-CN" w:bidi="ar-SA"/>
      <w14:ligatures w14:val="standardContextual"/>
    </w:rPr>
  </w:style>
  <w:style w:type="paragraph" w:styleId="2">
    <w:name w:val="heading 1"/>
    <w:basedOn w:val="1"/>
    <w:next w:val="1"/>
    <w:link w:val="30"/>
    <w:qFormat/>
    <w:uiPriority w:val="9"/>
    <w:pPr>
      <w:keepNext/>
      <w:keepLines/>
      <w:spacing w:line="360" w:lineRule="auto"/>
      <w:jc w:val="center"/>
      <w:outlineLvl w:val="0"/>
    </w:pPr>
    <w:rPr>
      <w:b/>
      <w:bCs/>
      <w:kern w:val="44"/>
      <w:sz w:val="28"/>
      <w:szCs w:val="44"/>
    </w:rPr>
  </w:style>
  <w:style w:type="paragraph" w:styleId="3">
    <w:name w:val="heading 2"/>
    <w:basedOn w:val="1"/>
    <w:next w:val="1"/>
    <w:link w:val="31"/>
    <w:unhideWhenUsed/>
    <w:qFormat/>
    <w:uiPriority w:val="9"/>
    <w:pPr>
      <w:keepNext/>
      <w:keepLines/>
      <w:ind w:firstLine="0" w:firstLineChars="0"/>
      <w:outlineLvl w:val="1"/>
    </w:pPr>
    <w:rPr>
      <w:rFonts w:cstheme="majorBidi"/>
      <w:b/>
      <w:bCs/>
      <w:szCs w:val="32"/>
    </w:rPr>
  </w:style>
  <w:style w:type="paragraph" w:styleId="4">
    <w:name w:val="heading 3"/>
    <w:basedOn w:val="1"/>
    <w:next w:val="1"/>
    <w:link w:val="34"/>
    <w:unhideWhenUsed/>
    <w:qFormat/>
    <w:uiPriority w:val="9"/>
    <w:pPr>
      <w:keepNext/>
      <w:keepLines/>
      <w:ind w:firstLine="0" w:firstLineChars="0"/>
      <w:outlineLvl w:val="2"/>
    </w:pPr>
    <w:rPr>
      <w:bCs/>
      <w:szCs w:val="32"/>
    </w:rPr>
  </w:style>
  <w:style w:type="paragraph" w:styleId="5">
    <w:name w:val="heading 4"/>
    <w:basedOn w:val="1"/>
    <w:next w:val="1"/>
    <w:link w:val="52"/>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spacing w:line="240" w:lineRule="auto"/>
      <w:ind w:left="2520" w:leftChars="1200" w:firstLine="0" w:firstLineChars="0"/>
    </w:pPr>
    <w:rPr>
      <w:rFonts w:asciiTheme="minorHAnsi" w:hAnsiTheme="minorHAnsi" w:eastAsiaTheme="minorEastAsia"/>
      <w:sz w:val="21"/>
    </w:rPr>
  </w:style>
  <w:style w:type="paragraph" w:styleId="7">
    <w:name w:val="Normal Indent"/>
    <w:basedOn w:val="1"/>
    <w:unhideWhenUsed/>
    <w:qFormat/>
    <w:uiPriority w:val="0"/>
    <w:pPr>
      <w:spacing w:line="500" w:lineRule="exact"/>
      <w:ind w:firstLine="420"/>
    </w:pPr>
    <w:rPr>
      <w:rFonts w:ascii="宋体" w:hAnsi="宋体" w:eastAsiaTheme="minorEastAsia"/>
      <w:kern w:val="0"/>
      <w:sz w:val="20"/>
      <w:szCs w:val="24"/>
      <w14:ligatures w14:val="none"/>
    </w:rPr>
  </w:style>
  <w:style w:type="paragraph" w:styleId="8">
    <w:name w:val="Body Text"/>
    <w:basedOn w:val="1"/>
    <w:link w:val="49"/>
    <w:autoRedefine/>
    <w:qFormat/>
    <w:uiPriority w:val="0"/>
    <w:pPr>
      <w:spacing w:after="120" w:line="240" w:lineRule="auto"/>
      <w:ind w:firstLine="0" w:firstLineChars="0"/>
    </w:pPr>
    <w:rPr>
      <w:rFonts w:cs="Times New Roman"/>
      <w:sz w:val="21"/>
      <w:szCs w:val="24"/>
      <w14:ligatures w14:val="none"/>
    </w:rPr>
  </w:style>
  <w:style w:type="paragraph" w:styleId="9">
    <w:name w:val="Body Text Indent"/>
    <w:basedOn w:val="1"/>
    <w:link w:val="36"/>
    <w:semiHidden/>
    <w:unhideWhenUsed/>
    <w:qFormat/>
    <w:uiPriority w:val="99"/>
    <w:pPr>
      <w:spacing w:after="120"/>
      <w:ind w:left="420" w:leftChars="200"/>
    </w:pPr>
  </w:style>
  <w:style w:type="paragraph" w:styleId="10">
    <w:name w:val="List 2"/>
    <w:basedOn w:val="1"/>
    <w:unhideWhenUsed/>
    <w:qFormat/>
    <w:uiPriority w:val="99"/>
    <w:pPr>
      <w:spacing w:line="240" w:lineRule="auto"/>
      <w:ind w:left="100" w:leftChars="200" w:hanging="200" w:hangingChars="200"/>
    </w:pPr>
    <w:rPr>
      <w:rFonts w:cs="Times New Roman"/>
      <w:sz w:val="21"/>
      <w:szCs w:val="24"/>
      <w14:ligatures w14:val="none"/>
    </w:rPr>
  </w:style>
  <w:style w:type="paragraph" w:styleId="11">
    <w:name w:val="toc 5"/>
    <w:basedOn w:val="1"/>
    <w:next w:val="1"/>
    <w:autoRedefine/>
    <w:unhideWhenUsed/>
    <w:qFormat/>
    <w:uiPriority w:val="39"/>
    <w:pPr>
      <w:spacing w:line="240" w:lineRule="auto"/>
      <w:ind w:left="1680" w:leftChars="800" w:firstLine="0" w:firstLineChars="0"/>
    </w:pPr>
    <w:rPr>
      <w:rFonts w:asciiTheme="minorHAnsi" w:hAnsiTheme="minorHAnsi" w:eastAsiaTheme="minorEastAsia"/>
      <w:sz w:val="21"/>
    </w:rPr>
  </w:style>
  <w:style w:type="paragraph" w:styleId="12">
    <w:name w:val="toc 3"/>
    <w:basedOn w:val="1"/>
    <w:next w:val="1"/>
    <w:autoRedefine/>
    <w:unhideWhenUsed/>
    <w:qFormat/>
    <w:uiPriority w:val="39"/>
    <w:pPr>
      <w:ind w:left="840" w:leftChars="400"/>
    </w:pPr>
  </w:style>
  <w:style w:type="paragraph" w:styleId="13">
    <w:name w:val="Plain Text"/>
    <w:basedOn w:val="1"/>
    <w:next w:val="1"/>
    <w:link w:val="39"/>
    <w:qFormat/>
    <w:uiPriority w:val="0"/>
    <w:pPr>
      <w:spacing w:line="240" w:lineRule="auto"/>
      <w:ind w:firstLine="0" w:firstLineChars="0"/>
    </w:pPr>
    <w:rPr>
      <w:rFonts w:ascii="宋体" w:hAnsi="Courier New" w:cs="Times New Roman"/>
      <w:szCs w:val="20"/>
      <w14:ligatures w14:val="none"/>
    </w:rPr>
  </w:style>
  <w:style w:type="paragraph" w:styleId="14">
    <w:name w:val="toc 8"/>
    <w:basedOn w:val="1"/>
    <w:next w:val="1"/>
    <w:unhideWhenUsed/>
    <w:qFormat/>
    <w:uiPriority w:val="39"/>
    <w:pPr>
      <w:spacing w:line="240" w:lineRule="auto"/>
      <w:ind w:left="2940" w:leftChars="1400" w:firstLine="0" w:firstLineChars="0"/>
    </w:pPr>
    <w:rPr>
      <w:rFonts w:ascii="Calibri" w:hAnsi="Calibri" w:cs="Times New Roman"/>
      <w:sz w:val="21"/>
      <w14:ligatures w14:val="none"/>
    </w:rPr>
  </w:style>
  <w:style w:type="paragraph" w:styleId="15">
    <w:name w:val="Date"/>
    <w:basedOn w:val="1"/>
    <w:next w:val="1"/>
    <w:link w:val="46"/>
    <w:semiHidden/>
    <w:unhideWhenUsed/>
    <w:qFormat/>
    <w:uiPriority w:val="99"/>
    <w:pPr>
      <w:ind w:left="100" w:leftChars="2500"/>
    </w:pPr>
  </w:style>
  <w:style w:type="paragraph" w:styleId="16">
    <w:name w:val="footer"/>
    <w:basedOn w:val="1"/>
    <w:link w:val="33"/>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32"/>
    <w:unhideWhenUsed/>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qFormat/>
    <w:uiPriority w:val="39"/>
    <w:pPr>
      <w:spacing w:line="240" w:lineRule="auto"/>
      <w:ind w:firstLine="0" w:firstLineChars="0"/>
    </w:pPr>
    <w:rPr>
      <w:rFonts w:cs="Times New Roman"/>
      <w:szCs w:val="24"/>
      <w14:ligatures w14:val="none"/>
    </w:rPr>
  </w:style>
  <w:style w:type="paragraph" w:styleId="19">
    <w:name w:val="toc 4"/>
    <w:basedOn w:val="1"/>
    <w:next w:val="1"/>
    <w:autoRedefine/>
    <w:unhideWhenUsed/>
    <w:qFormat/>
    <w:uiPriority w:val="39"/>
    <w:pPr>
      <w:spacing w:line="240" w:lineRule="auto"/>
      <w:ind w:left="1260" w:leftChars="600" w:firstLine="0" w:firstLineChars="0"/>
    </w:pPr>
    <w:rPr>
      <w:rFonts w:asciiTheme="minorHAnsi" w:hAnsiTheme="minorHAnsi" w:eastAsiaTheme="minorEastAsia"/>
      <w:sz w:val="21"/>
    </w:rPr>
  </w:style>
  <w:style w:type="paragraph" w:styleId="20">
    <w:name w:val="toc 6"/>
    <w:basedOn w:val="1"/>
    <w:next w:val="1"/>
    <w:autoRedefine/>
    <w:unhideWhenUsed/>
    <w:qFormat/>
    <w:uiPriority w:val="39"/>
    <w:pPr>
      <w:spacing w:line="240" w:lineRule="auto"/>
      <w:ind w:left="2100" w:leftChars="1000" w:firstLine="0" w:firstLineChars="0"/>
    </w:pPr>
    <w:rPr>
      <w:rFonts w:asciiTheme="minorHAnsi" w:hAnsiTheme="minorHAnsi" w:eastAsiaTheme="minorEastAsia"/>
      <w:sz w:val="21"/>
    </w:rPr>
  </w:style>
  <w:style w:type="paragraph" w:styleId="21">
    <w:name w:val="toc 2"/>
    <w:basedOn w:val="1"/>
    <w:next w:val="1"/>
    <w:autoRedefine/>
    <w:unhideWhenUsed/>
    <w:qFormat/>
    <w:uiPriority w:val="39"/>
  </w:style>
  <w:style w:type="paragraph" w:styleId="22">
    <w:name w:val="toc 9"/>
    <w:basedOn w:val="1"/>
    <w:next w:val="1"/>
    <w:autoRedefine/>
    <w:unhideWhenUsed/>
    <w:qFormat/>
    <w:uiPriority w:val="39"/>
    <w:pPr>
      <w:spacing w:line="240" w:lineRule="auto"/>
      <w:ind w:left="3360" w:leftChars="1600" w:firstLine="0" w:firstLineChars="0"/>
    </w:pPr>
    <w:rPr>
      <w:rFonts w:asciiTheme="minorHAnsi" w:hAnsiTheme="minorHAnsi" w:eastAsiaTheme="minorEastAsia"/>
      <w:sz w:val="21"/>
    </w:rPr>
  </w:style>
  <w:style w:type="paragraph" w:styleId="23">
    <w:name w:val="Normal (Web)"/>
    <w:basedOn w:val="1"/>
    <w:autoRedefine/>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14:ligatures w14:val="none"/>
    </w:rPr>
  </w:style>
  <w:style w:type="paragraph" w:styleId="24">
    <w:name w:val="Body Text First Indent 2"/>
    <w:basedOn w:val="9"/>
    <w:link w:val="37"/>
    <w:qFormat/>
    <w:uiPriority w:val="0"/>
    <w:pPr>
      <w:spacing w:line="500" w:lineRule="exact"/>
      <w:ind w:firstLine="420"/>
    </w:pPr>
    <w:rPr>
      <w:rFonts w:cs="Times New Roman" w:eastAsiaTheme="minorEastAsia"/>
      <w:sz w:val="28"/>
      <w:szCs w:val="24"/>
      <w14:ligatures w14:val="none"/>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22"/>
    <w:rPr>
      <w:b/>
      <w:bCs/>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customStyle="1" w:styleId="30">
    <w:name w:val="标题 1 字符"/>
    <w:basedOn w:val="27"/>
    <w:link w:val="2"/>
    <w:qFormat/>
    <w:uiPriority w:val="9"/>
    <w:rPr>
      <w:rFonts w:ascii="Times New Roman" w:hAnsi="Times New Roman" w:eastAsia="宋体"/>
      <w:b/>
      <w:bCs/>
      <w:kern w:val="44"/>
      <w:sz w:val="28"/>
      <w:szCs w:val="44"/>
    </w:rPr>
  </w:style>
  <w:style w:type="character" w:customStyle="1" w:styleId="31">
    <w:name w:val="标题 2 字符"/>
    <w:basedOn w:val="27"/>
    <w:link w:val="3"/>
    <w:qFormat/>
    <w:uiPriority w:val="9"/>
    <w:rPr>
      <w:rFonts w:ascii="Times New Roman" w:hAnsi="Times New Roman" w:eastAsia="宋体" w:cstheme="majorBidi"/>
      <w:b/>
      <w:bCs/>
      <w:sz w:val="28"/>
      <w:szCs w:val="32"/>
    </w:rPr>
  </w:style>
  <w:style w:type="character" w:customStyle="1" w:styleId="32">
    <w:name w:val="页眉 字符"/>
    <w:basedOn w:val="27"/>
    <w:link w:val="17"/>
    <w:qFormat/>
    <w:uiPriority w:val="99"/>
    <w:rPr>
      <w:rFonts w:ascii="Times New Roman" w:hAnsi="Times New Roman" w:eastAsia="宋体"/>
      <w:sz w:val="18"/>
      <w:szCs w:val="18"/>
    </w:rPr>
  </w:style>
  <w:style w:type="character" w:customStyle="1" w:styleId="33">
    <w:name w:val="页脚 字符"/>
    <w:basedOn w:val="27"/>
    <w:link w:val="16"/>
    <w:qFormat/>
    <w:uiPriority w:val="99"/>
    <w:rPr>
      <w:rFonts w:ascii="Times New Roman" w:hAnsi="Times New Roman" w:eastAsia="宋体"/>
      <w:sz w:val="18"/>
      <w:szCs w:val="18"/>
    </w:rPr>
  </w:style>
  <w:style w:type="character" w:customStyle="1" w:styleId="34">
    <w:name w:val="标题 3 字符"/>
    <w:basedOn w:val="27"/>
    <w:link w:val="4"/>
    <w:qFormat/>
    <w:uiPriority w:val="9"/>
    <w:rPr>
      <w:rFonts w:ascii="Times New Roman" w:hAnsi="Times New Roman" w:eastAsia="宋体"/>
      <w:bCs/>
      <w:sz w:val="24"/>
      <w:szCs w:val="32"/>
    </w:rPr>
  </w:style>
  <w:style w:type="paragraph" w:styleId="35">
    <w:name w:val="List Paragraph"/>
    <w:basedOn w:val="1"/>
    <w:qFormat/>
    <w:uiPriority w:val="34"/>
    <w:pPr>
      <w:ind w:firstLine="420"/>
    </w:pPr>
  </w:style>
  <w:style w:type="character" w:customStyle="1" w:styleId="36">
    <w:name w:val="正文文本缩进 字符"/>
    <w:basedOn w:val="27"/>
    <w:link w:val="9"/>
    <w:semiHidden/>
    <w:qFormat/>
    <w:uiPriority w:val="99"/>
    <w:rPr>
      <w:rFonts w:ascii="Times New Roman" w:hAnsi="Times New Roman" w:eastAsia="宋体"/>
      <w:sz w:val="24"/>
    </w:rPr>
  </w:style>
  <w:style w:type="character" w:customStyle="1" w:styleId="37">
    <w:name w:val="正文文本首行缩进 2 字符"/>
    <w:basedOn w:val="36"/>
    <w:link w:val="24"/>
    <w:qFormat/>
    <w:uiPriority w:val="0"/>
    <w:rPr>
      <w:rFonts w:ascii="Times New Roman" w:hAnsi="Times New Roman" w:eastAsia="宋体" w:cs="Times New Roman"/>
      <w:sz w:val="28"/>
      <w:szCs w:val="24"/>
      <w14:ligatures w14:val="none"/>
    </w:rPr>
  </w:style>
  <w:style w:type="character" w:customStyle="1" w:styleId="38">
    <w:name w:val="标题 #2 + 间距 0 pt"/>
    <w:basedOn w:val="27"/>
    <w:qFormat/>
    <w:uiPriority w:val="99"/>
    <w:rPr>
      <w:rFonts w:ascii="PMingLiU-ExtB" w:hAnsi="PMingLiU-ExtB" w:eastAsia="PMingLiU-ExtB" w:cs="PMingLiU-ExtB"/>
      <w:color w:val="000000"/>
      <w:spacing w:val="0"/>
      <w:w w:val="100"/>
      <w:position w:val="0"/>
      <w:sz w:val="32"/>
      <w:szCs w:val="32"/>
      <w:u w:val="none"/>
      <w:shd w:val="clear" w:color="auto" w:fill="FFFFFF"/>
      <w:lang w:val="zh-TW" w:eastAsia="zh-TW"/>
    </w:rPr>
  </w:style>
  <w:style w:type="character" w:customStyle="1" w:styleId="39">
    <w:name w:val="纯文本 字符"/>
    <w:basedOn w:val="27"/>
    <w:link w:val="13"/>
    <w:qFormat/>
    <w:uiPriority w:val="0"/>
    <w:rPr>
      <w:rFonts w:ascii="宋体" w:hAnsi="Courier New" w:eastAsia="宋体" w:cs="Times New Roman"/>
      <w:sz w:val="24"/>
      <w:szCs w:val="20"/>
      <w14:ligatures w14:val="none"/>
    </w:rPr>
  </w:style>
  <w:style w:type="table" w:customStyle="1" w:styleId="40">
    <w:name w:val="Table Normal"/>
    <w:semiHidden/>
    <w:unhideWhenUsed/>
    <w:qFormat/>
    <w:uiPriority w:val="0"/>
    <w:rPr>
      <w:rFonts w:ascii="Arial" w:hAnsi="Arial" w:cs="Arial"/>
      <w:kern w:val="0"/>
      <w:sz w:val="20"/>
      <w:szCs w:val="20"/>
      <w14:ligatures w14:val="none"/>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宋体" w:hAnsi="宋体" w:cs="宋体"/>
      <w:snapToGrid w:val="0"/>
      <w:color w:val="000000"/>
      <w:kern w:val="0"/>
      <w:sz w:val="21"/>
      <w:szCs w:val="21"/>
      <w:lang w:eastAsia="en-US"/>
      <w14:ligatures w14:val="none"/>
    </w:rPr>
  </w:style>
  <w:style w:type="paragraph" w:customStyle="1" w:styleId="42">
    <w:name w:val="样式1"/>
    <w:basedOn w:val="1"/>
    <w:qFormat/>
    <w:uiPriority w:val="0"/>
    <w:pPr>
      <w:spacing w:line="480" w:lineRule="exact"/>
    </w:pPr>
    <w:rPr>
      <w:rFonts w:asciiTheme="minorHAnsi" w:hAnsiTheme="minorHAnsi"/>
      <w:spacing w:val="6"/>
      <w:sz w:val="28"/>
      <w:szCs w:val="24"/>
      <w14:ligatures w14:val="none"/>
    </w:rPr>
  </w:style>
  <w:style w:type="paragraph" w:customStyle="1" w:styleId="43">
    <w:name w:val="正文1"/>
    <w:basedOn w:val="1"/>
    <w:qFormat/>
    <w:uiPriority w:val="0"/>
    <w:pPr>
      <w:spacing w:line="500" w:lineRule="exact"/>
      <w:ind w:firstLine="0" w:firstLineChars="0"/>
    </w:pPr>
    <w:rPr>
      <w:rFonts w:asciiTheme="minorHAnsi" w:hAnsiTheme="minorHAnsi" w:eastAsiaTheme="minorEastAsia"/>
      <w:sz w:val="28"/>
      <w:szCs w:val="24"/>
      <w14:ligatures w14:val="none"/>
    </w:rPr>
  </w:style>
  <w:style w:type="paragraph" w:customStyle="1" w:styleId="44">
    <w:name w:val="TOC Heading"/>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14:ligatures w14:val="none"/>
    </w:rPr>
  </w:style>
  <w:style w:type="character" w:customStyle="1" w:styleId="45">
    <w:name w:val="Unresolved Mention"/>
    <w:basedOn w:val="27"/>
    <w:semiHidden/>
    <w:unhideWhenUsed/>
    <w:qFormat/>
    <w:uiPriority w:val="99"/>
    <w:rPr>
      <w:color w:val="605E5C"/>
      <w:shd w:val="clear" w:color="auto" w:fill="E1DFDD"/>
    </w:rPr>
  </w:style>
  <w:style w:type="character" w:customStyle="1" w:styleId="46">
    <w:name w:val="日期 字符"/>
    <w:basedOn w:val="27"/>
    <w:link w:val="15"/>
    <w:semiHidden/>
    <w:qFormat/>
    <w:uiPriority w:val="99"/>
    <w:rPr>
      <w:rFonts w:ascii="Times New Roman" w:hAnsi="Times New Roman" w:eastAsia="宋体"/>
      <w:sz w:val="24"/>
    </w:rPr>
  </w:style>
  <w:style w:type="character" w:customStyle="1" w:styleId="47">
    <w:name w:val="font11"/>
    <w:basedOn w:val="27"/>
    <w:autoRedefine/>
    <w:qFormat/>
    <w:uiPriority w:val="0"/>
    <w:rPr>
      <w:rFonts w:hint="eastAsia" w:ascii="仿宋" w:hAnsi="仿宋" w:eastAsia="仿宋" w:cs="仿宋"/>
      <w:color w:val="000000"/>
      <w:sz w:val="20"/>
      <w:szCs w:val="20"/>
      <w:u w:val="none"/>
    </w:rPr>
  </w:style>
  <w:style w:type="character" w:customStyle="1" w:styleId="48">
    <w:name w:val="font31"/>
    <w:basedOn w:val="27"/>
    <w:autoRedefine/>
    <w:qFormat/>
    <w:uiPriority w:val="0"/>
    <w:rPr>
      <w:rFonts w:ascii="Calibri" w:hAnsi="Calibri" w:cs="Calibri"/>
      <w:color w:val="000000"/>
      <w:sz w:val="24"/>
      <w:szCs w:val="24"/>
      <w:u w:val="none"/>
    </w:rPr>
  </w:style>
  <w:style w:type="character" w:customStyle="1" w:styleId="49">
    <w:name w:val="正文文本 字符"/>
    <w:basedOn w:val="27"/>
    <w:link w:val="8"/>
    <w:qFormat/>
    <w:uiPriority w:val="0"/>
    <w:rPr>
      <w:rFonts w:ascii="Times New Roman" w:hAnsi="Times New Roman" w:eastAsia="宋体" w:cs="Times New Roman"/>
      <w:szCs w:val="24"/>
      <w14:ligatures w14:val="none"/>
    </w:rPr>
  </w:style>
  <w:style w:type="paragraph" w:customStyle="1" w:styleId="50">
    <w:name w:val="第四层"/>
    <w:basedOn w:val="5"/>
    <w:link w:val="51"/>
    <w:qFormat/>
    <w:uiPriority w:val="0"/>
    <w:pPr>
      <w:spacing w:line="360" w:lineRule="auto"/>
      <w:ind w:firstLine="118" w:firstLineChars="49"/>
    </w:pPr>
    <w:rPr>
      <w:rFonts w:ascii="宋体" w:hAnsi="宋体" w:eastAsia="黑体" w:cs="Times New Roman"/>
      <w:b w:val="0"/>
      <w:sz w:val="24"/>
      <w14:ligatures w14:val="none"/>
    </w:rPr>
  </w:style>
  <w:style w:type="character" w:customStyle="1" w:styleId="51">
    <w:name w:val="第四层 Char"/>
    <w:link w:val="50"/>
    <w:autoRedefine/>
    <w:qFormat/>
    <w:uiPriority w:val="0"/>
    <w:rPr>
      <w:rFonts w:ascii="宋体" w:hAnsi="宋体" w:eastAsia="黑体" w:cs="Times New Roman"/>
      <w:bCs/>
      <w:sz w:val="24"/>
      <w:szCs w:val="28"/>
      <w14:ligatures w14:val="none"/>
    </w:rPr>
  </w:style>
  <w:style w:type="character" w:customStyle="1" w:styleId="52">
    <w:name w:val="标题 4 字符"/>
    <w:basedOn w:val="27"/>
    <w:link w:val="5"/>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73D6D-5C0D-4908-82CC-08F2EFF9CAB4}">
  <ds:schemaRefs/>
</ds:datastoreItem>
</file>

<file path=docProps/app.xml><?xml version="1.0" encoding="utf-8"?>
<Properties xmlns="http://schemas.openxmlformats.org/officeDocument/2006/extended-properties" xmlns:vt="http://schemas.openxmlformats.org/officeDocument/2006/docPropsVTypes">
  <Template>Normal</Template>
  <Pages>4</Pages>
  <Words>1236</Words>
  <Characters>1339</Characters>
  <Lines>531</Lines>
  <Paragraphs>563</Paragraphs>
  <TotalTime>2</TotalTime>
  <ScaleCrop>false</ScaleCrop>
  <LinksUpToDate>false</LinksUpToDate>
  <CharactersWithSpaces>1367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2024-10-23T00:52:00Z</dcterms:created>
  <dc:creator>小发 王</dc:creator>
  <cp:lastModifiedBy>YAOYAO</cp:lastModifiedBy>
  <cp:lastPrinted>2024-10-24T07:31:00Z</cp:lastPrinted>
  <dcterms:modified xsi:type="dcterms:W3CDTF">2026-11-02T06:01:21Z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eyJoZGlkIjoiYmI3OTY1ODVhZjIwYzA5MTJkYjlkMDUwNzkxNDk0NWYiLCJ1c2VySWQiOiIyMTgwMzQ3MSJ9</vt:lpwstr>
  </property>
  <property fmtid="{D5CDD505-2E9C-101B-9397-08002B2CF9AE}" pid="3" name="KSOProductBuildVer">
    <vt:lpwstr>2052-12.1.0.29680</vt:lpwstr>
  </property>
  <property fmtid="{D5CDD505-2E9C-101B-9397-08002B2CF9AE}" pid="4" name="ICV">
    <vt:lpwstr>B3BABEC62ACE437589B5A3AD87D3A7C8_12</vt:lpwstr>
  </property>
</Properties>
</file>